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6B36" w:rsidRDefault="00375C1F">
      <w:pPr>
        <w:tabs>
          <w:tab w:val="left" w:pos="7513"/>
        </w:tabs>
        <w:jc w:val="right"/>
        <w:rPr>
          <w:rFonts w:ascii="Times New Roman" w:hAnsi="Times New Roman" w:cs="Times New Roman"/>
          <w:sz w:val="28"/>
          <w:szCs w:val="28"/>
        </w:rPr>
      </w:pPr>
      <w:r>
        <w:rPr>
          <w:rFonts w:ascii="Times New Roman" w:hAnsi="Times New Roman" w:cs="Times New Roman"/>
          <w:sz w:val="28"/>
          <w:szCs w:val="28"/>
        </w:rPr>
        <w:t>ПРОЕКТ</w:t>
      </w:r>
    </w:p>
    <w:p w:rsidR="00BC6B36" w:rsidRDefault="00375C1F">
      <w:pPr>
        <w:jc w:val="center"/>
        <w:rPr>
          <w:rFonts w:ascii="Times New Roman" w:hAnsi="Times New Roman" w:cs="Times New Roman"/>
          <w:sz w:val="28"/>
          <w:szCs w:val="28"/>
        </w:rPr>
      </w:pPr>
      <w:r>
        <w:rPr>
          <w:rFonts w:ascii="Times New Roman" w:hAnsi="Times New Roman" w:cs="Times New Roman"/>
          <w:sz w:val="28"/>
          <w:szCs w:val="28"/>
        </w:rPr>
        <w:t xml:space="preserve">ПРАВИТЕЛЬСТВО БРЯНСКОЙ ОБЛАСТИ                                 </w:t>
      </w:r>
    </w:p>
    <w:p w:rsidR="00BC6B36" w:rsidRDefault="00375C1F">
      <w:pPr>
        <w:jc w:val="center"/>
        <w:rPr>
          <w:rFonts w:ascii="Times New Roman" w:hAnsi="Times New Roman" w:cs="Times New Roman"/>
          <w:sz w:val="28"/>
          <w:szCs w:val="28"/>
        </w:rPr>
      </w:pPr>
      <w:r>
        <w:rPr>
          <w:rFonts w:ascii="Times New Roman" w:hAnsi="Times New Roman" w:cs="Times New Roman"/>
          <w:sz w:val="28"/>
          <w:szCs w:val="28"/>
        </w:rPr>
        <w:t>РАСПОРЯЖЕНИЕ</w:t>
      </w:r>
    </w:p>
    <w:tbl>
      <w:tblPr>
        <w:tblpPr w:leftFromText="180" w:rightFromText="180" w:vertAnchor="page" w:horzAnchor="margin" w:tblpY="2671"/>
        <w:tblOverlap w:val="never"/>
        <w:tblW w:w="5103" w:type="dxa"/>
        <w:tblBorders>
          <w:bottom w:val="single" w:sz="4" w:space="0" w:color="auto"/>
        </w:tblBorders>
        <w:tblLayout w:type="fixed"/>
        <w:tblLook w:val="04A0" w:firstRow="1" w:lastRow="0" w:firstColumn="1" w:lastColumn="0" w:noHBand="0" w:noVBand="1"/>
      </w:tblPr>
      <w:tblGrid>
        <w:gridCol w:w="4820"/>
        <w:gridCol w:w="283"/>
      </w:tblGrid>
      <w:tr w:rsidR="00BC6B36">
        <w:trPr>
          <w:trHeight w:val="205"/>
        </w:trPr>
        <w:tc>
          <w:tcPr>
            <w:tcW w:w="4820" w:type="dxa"/>
            <w:tcBorders>
              <w:bottom w:val="nil"/>
            </w:tcBorders>
            <w:shd w:val="clear" w:color="auto" w:fill="auto"/>
          </w:tcPr>
          <w:p w:rsidR="00BC6B36" w:rsidRDefault="00375C1F">
            <w:pPr>
              <w:spacing w:after="0"/>
              <w:jc w:val="both"/>
              <w:rPr>
                <w:rFonts w:ascii="Times New Roman" w:hAnsi="Times New Roman" w:cs="Times New Roman"/>
                <w:i/>
                <w:sz w:val="28"/>
                <w:szCs w:val="28"/>
              </w:rPr>
            </w:pPr>
            <w:r>
              <w:rPr>
                <w:rFonts w:ascii="Times New Roman" w:hAnsi="Times New Roman" w:cs="Times New Roman"/>
                <w:sz w:val="28"/>
                <w:szCs w:val="28"/>
              </w:rPr>
              <w:t>Об утверждении Методики оценки эффективности осуществления закупок товаров, работ, услуг для обеспечения нужд Брянской области</w:t>
            </w:r>
          </w:p>
        </w:tc>
        <w:tc>
          <w:tcPr>
            <w:tcW w:w="283" w:type="dxa"/>
            <w:tcBorders>
              <w:bottom w:val="nil"/>
            </w:tcBorders>
            <w:shd w:val="clear" w:color="auto" w:fill="auto"/>
          </w:tcPr>
          <w:p w:rsidR="00BC6B36" w:rsidRDefault="00BC6B36">
            <w:pPr>
              <w:ind w:right="-108" w:hanging="108"/>
            </w:pPr>
          </w:p>
        </w:tc>
      </w:tr>
    </w:tbl>
    <w:p w:rsidR="00BC6B36" w:rsidRDefault="00BC6B36">
      <w:pPr>
        <w:jc w:val="center"/>
      </w:pPr>
    </w:p>
    <w:p w:rsidR="00BC6B36" w:rsidRDefault="00BC6B36">
      <w:pPr>
        <w:pStyle w:val="ConsPlusNormal"/>
        <w:ind w:firstLine="708"/>
        <w:jc w:val="both"/>
        <w:rPr>
          <w:rFonts w:ascii="Times New Roman" w:eastAsiaTheme="minorHAnsi" w:hAnsi="Times New Roman" w:cs="Times New Roman"/>
          <w:sz w:val="28"/>
          <w:szCs w:val="28"/>
          <w:lang w:eastAsia="en-US"/>
        </w:rPr>
      </w:pPr>
    </w:p>
    <w:p w:rsidR="00BC6B36" w:rsidRDefault="00BC6B36">
      <w:pPr>
        <w:pStyle w:val="ConsPlusNormal"/>
        <w:ind w:firstLine="708"/>
        <w:jc w:val="both"/>
        <w:rPr>
          <w:rFonts w:ascii="Times New Roman" w:eastAsiaTheme="minorHAnsi" w:hAnsi="Times New Roman" w:cs="Times New Roman"/>
          <w:sz w:val="28"/>
          <w:szCs w:val="28"/>
          <w:lang w:eastAsia="en-US"/>
        </w:rPr>
      </w:pPr>
    </w:p>
    <w:p w:rsidR="00BC6B36" w:rsidRDefault="00BC6B36">
      <w:pPr>
        <w:pStyle w:val="ConsPlusNormal"/>
        <w:ind w:firstLine="708"/>
        <w:jc w:val="both"/>
        <w:rPr>
          <w:rFonts w:ascii="Times New Roman" w:eastAsiaTheme="minorHAnsi" w:hAnsi="Times New Roman" w:cs="Times New Roman"/>
          <w:sz w:val="28"/>
          <w:szCs w:val="28"/>
          <w:lang w:eastAsia="en-US"/>
        </w:rPr>
      </w:pPr>
    </w:p>
    <w:p w:rsidR="00BC6B36" w:rsidRDefault="00BC6B36">
      <w:pPr>
        <w:pStyle w:val="ConsPlusNormal"/>
        <w:ind w:firstLine="708"/>
        <w:jc w:val="both"/>
        <w:rPr>
          <w:rFonts w:ascii="Times New Roman" w:eastAsiaTheme="minorHAnsi" w:hAnsi="Times New Roman" w:cs="Times New Roman"/>
          <w:sz w:val="28"/>
          <w:szCs w:val="28"/>
          <w:lang w:eastAsia="en-US"/>
        </w:rPr>
      </w:pPr>
    </w:p>
    <w:p w:rsidR="00BC6B36" w:rsidRDefault="00BC6B36">
      <w:pPr>
        <w:pStyle w:val="ConsPlusNormal"/>
        <w:jc w:val="both"/>
        <w:rPr>
          <w:rFonts w:ascii="Times New Roman" w:eastAsiaTheme="minorHAnsi" w:hAnsi="Times New Roman" w:cs="Times New Roman"/>
          <w:sz w:val="28"/>
          <w:szCs w:val="28"/>
          <w:lang w:eastAsia="en-US"/>
        </w:rPr>
      </w:pPr>
    </w:p>
    <w:p w:rsidR="00BC6B36" w:rsidRDefault="00BC6B36">
      <w:pPr>
        <w:pStyle w:val="ConsPlusNormal"/>
        <w:jc w:val="both"/>
        <w:rPr>
          <w:rFonts w:ascii="Times New Roman" w:eastAsiaTheme="minorHAnsi" w:hAnsi="Times New Roman" w:cs="Times New Roman"/>
          <w:sz w:val="28"/>
          <w:szCs w:val="28"/>
          <w:lang w:eastAsia="en-US"/>
        </w:rPr>
      </w:pPr>
    </w:p>
    <w:p w:rsidR="00BC6B36" w:rsidRDefault="00375C1F">
      <w:pPr>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В целях повышения эффективности осуществления закупок товаров, работ, услуг для нужд Брянской области в соответствии с Федеральным законом от 05.04.2013 N 44-ФЗ "О контрактной системе в сфере закупок товаров, работ, услуг для обеспечения государс</w:t>
      </w:r>
      <w:r>
        <w:rPr>
          <w:rFonts w:ascii="Times New Roman" w:hAnsi="Times New Roman" w:cs="Times New Roman"/>
          <w:sz w:val="28"/>
          <w:szCs w:val="28"/>
        </w:rPr>
        <w:t>твенных и муниципальных нужд":</w:t>
      </w:r>
    </w:p>
    <w:p w:rsidR="00BC6B36" w:rsidRDefault="00375C1F">
      <w:pPr>
        <w:jc w:val="both"/>
        <w:rPr>
          <w:rFonts w:ascii="Times New Roman" w:hAnsi="Times New Roman" w:cs="Times New Roman"/>
          <w:sz w:val="28"/>
          <w:szCs w:val="28"/>
        </w:rPr>
      </w:pPr>
      <w:r>
        <w:rPr>
          <w:rFonts w:ascii="Times New Roman" w:hAnsi="Times New Roman" w:cs="Times New Roman"/>
          <w:sz w:val="28"/>
          <w:szCs w:val="28"/>
        </w:rPr>
        <w:t>1. Утвердить Методику оценки эффективности осуществления закупок товаров, работ, услуг для обеспечения нужд Брянской области согласно приложению, к настоящему распоряжению.</w:t>
      </w:r>
    </w:p>
    <w:p w:rsidR="00BC6B36" w:rsidRDefault="00375C1F">
      <w:pPr>
        <w:spacing w:after="82" w:line="261" w:lineRule="auto"/>
        <w:ind w:left="10" w:right="48"/>
        <w:jc w:val="both"/>
        <w:rPr>
          <w:rFonts w:ascii="Times New Roman" w:hAnsi="Times New Roman" w:cs="Times New Roman"/>
          <w:sz w:val="28"/>
          <w:szCs w:val="28"/>
        </w:rPr>
      </w:pPr>
      <w:r>
        <w:rPr>
          <w:rFonts w:ascii="Times New Roman" w:hAnsi="Times New Roman" w:cs="Times New Roman"/>
          <w:sz w:val="28"/>
          <w:szCs w:val="28"/>
        </w:rPr>
        <w:t>2. Управлению государственных закупок Брянской облас</w:t>
      </w:r>
      <w:r>
        <w:rPr>
          <w:rFonts w:ascii="Times New Roman" w:hAnsi="Times New Roman" w:cs="Times New Roman"/>
          <w:sz w:val="28"/>
          <w:szCs w:val="28"/>
        </w:rPr>
        <w:t>ти осуществлять оценку эффективности осуществления закупок в соответствии с приложением к настоящему распоряжению.</w:t>
      </w:r>
    </w:p>
    <w:p w:rsidR="00BC6B36" w:rsidRDefault="00375C1F">
      <w:pPr>
        <w:shd w:val="clear" w:color="auto" w:fill="FFFFFF"/>
        <w:jc w:val="both"/>
        <w:rPr>
          <w:rFonts w:ascii="Times New Roman" w:hAnsi="Times New Roman" w:cs="Times New Roman"/>
          <w:sz w:val="28"/>
          <w:szCs w:val="28"/>
        </w:rPr>
      </w:pPr>
      <w:r>
        <w:rPr>
          <w:rFonts w:ascii="Times New Roman" w:hAnsi="Times New Roman" w:cs="Times New Roman"/>
          <w:sz w:val="28"/>
          <w:szCs w:val="28"/>
        </w:rPr>
        <w:t xml:space="preserve">3. </w:t>
      </w:r>
      <w:r>
        <w:rPr>
          <w:rFonts w:ascii="Times New Roman" w:hAnsi="Times New Roman"/>
          <w:sz w:val="28"/>
          <w:szCs w:val="28"/>
        </w:rPr>
        <w:t>Рекомендовать органам местного самоуправления Брянской области утвердить для муниципальных заказчиков «</w:t>
      </w:r>
      <w:r>
        <w:rPr>
          <w:rFonts w:ascii="Times New Roman" w:hAnsi="Times New Roman" w:cs="Times New Roman"/>
          <w:sz w:val="28"/>
          <w:szCs w:val="28"/>
        </w:rPr>
        <w:t>Методику оценки эффективности осуще</w:t>
      </w:r>
      <w:r>
        <w:rPr>
          <w:rFonts w:ascii="Times New Roman" w:hAnsi="Times New Roman" w:cs="Times New Roman"/>
          <w:sz w:val="28"/>
          <w:szCs w:val="28"/>
        </w:rPr>
        <w:t>ствления закупок товаров, работ, услуг для обеспечения муниципальных нужд».</w:t>
      </w:r>
    </w:p>
    <w:p w:rsidR="00BC6B36" w:rsidRDefault="00375C1F">
      <w:pPr>
        <w:shd w:val="clear" w:color="auto" w:fill="FFFFFF"/>
        <w:jc w:val="both"/>
        <w:rPr>
          <w:rFonts w:ascii="Times New Roman" w:hAnsi="Times New Roman"/>
          <w:sz w:val="28"/>
          <w:szCs w:val="28"/>
        </w:rPr>
      </w:pPr>
      <w:r>
        <w:rPr>
          <w:rFonts w:ascii="Times New Roman" w:hAnsi="Times New Roman" w:cs="Times New Roman"/>
          <w:sz w:val="28"/>
          <w:szCs w:val="28"/>
        </w:rPr>
        <w:t>4. Контроль за исполнением настоящего распоряжения возложить на заместителя Губернатора Брянской области Сергеева С.А.</w:t>
      </w:r>
    </w:p>
    <w:p w:rsidR="00BC6B36" w:rsidRDefault="00BC6B36">
      <w:pPr>
        <w:spacing w:after="82" w:line="261" w:lineRule="auto"/>
        <w:ind w:left="10" w:right="48"/>
        <w:jc w:val="both"/>
        <w:rPr>
          <w:rFonts w:ascii="Times New Roman" w:hAnsi="Times New Roman" w:cs="Times New Roman"/>
          <w:sz w:val="28"/>
          <w:szCs w:val="28"/>
        </w:rPr>
      </w:pPr>
    </w:p>
    <w:p w:rsidR="00BC6B36" w:rsidRDefault="00375C1F">
      <w:pPr>
        <w:spacing w:after="14"/>
        <w:rPr>
          <w:rFonts w:ascii="Times New Roman" w:hAnsi="Times New Roman" w:cs="Times New Roman"/>
          <w:sz w:val="28"/>
          <w:szCs w:val="28"/>
        </w:rPr>
      </w:pPr>
      <w:r>
        <w:rPr>
          <w:rFonts w:ascii="Times New Roman" w:hAnsi="Times New Roman" w:cs="Times New Roman"/>
          <w:sz w:val="28"/>
          <w:szCs w:val="28"/>
        </w:rPr>
        <w:t xml:space="preserve"> </w:t>
      </w:r>
    </w:p>
    <w:p w:rsidR="00BC6B36" w:rsidRDefault="00375C1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BC6B36" w:rsidRDefault="00BC6B36">
      <w:pPr>
        <w:spacing w:after="0"/>
        <w:rPr>
          <w:rFonts w:ascii="Times New Roman" w:eastAsia="Times New Roman" w:hAnsi="Times New Roman" w:cs="Times New Roman"/>
          <w:color w:val="000000"/>
          <w:sz w:val="28"/>
          <w:szCs w:val="28"/>
        </w:rPr>
      </w:pPr>
    </w:p>
    <w:p w:rsidR="00BC6B36" w:rsidRDefault="00BC6B36">
      <w:pPr>
        <w:spacing w:after="0"/>
        <w:rPr>
          <w:rFonts w:ascii="Times New Roman" w:eastAsia="Times New Roman" w:hAnsi="Times New Roman" w:cs="Times New Roman"/>
          <w:color w:val="000000"/>
          <w:sz w:val="28"/>
          <w:szCs w:val="28"/>
        </w:rPr>
      </w:pPr>
    </w:p>
    <w:p w:rsidR="00BC6B36" w:rsidRDefault="00BC6B36">
      <w:pPr>
        <w:spacing w:after="0"/>
        <w:rPr>
          <w:rFonts w:ascii="Times New Roman" w:eastAsia="Times New Roman" w:hAnsi="Times New Roman" w:cs="Times New Roman"/>
          <w:color w:val="000000"/>
          <w:sz w:val="28"/>
          <w:szCs w:val="28"/>
        </w:rPr>
      </w:pPr>
    </w:p>
    <w:p w:rsidR="00BC6B36" w:rsidRDefault="00BC6B36">
      <w:pPr>
        <w:spacing w:after="0"/>
        <w:rPr>
          <w:rFonts w:ascii="Times New Roman" w:hAnsi="Times New Roman" w:cs="Times New Roman"/>
          <w:sz w:val="28"/>
          <w:szCs w:val="28"/>
        </w:rPr>
      </w:pPr>
    </w:p>
    <w:p w:rsidR="00BC6B36" w:rsidRDefault="00375C1F">
      <w:pPr>
        <w:tabs>
          <w:tab w:val="center" w:pos="8740"/>
        </w:tabs>
        <w:rPr>
          <w:rFonts w:ascii="Times New Roman" w:hAnsi="Times New Roman" w:cs="Times New Roman"/>
          <w:sz w:val="28"/>
          <w:szCs w:val="28"/>
        </w:rPr>
      </w:pPr>
      <w:r>
        <w:rPr>
          <w:rFonts w:ascii="Times New Roman" w:hAnsi="Times New Roman" w:cs="Times New Roman"/>
          <w:sz w:val="28"/>
          <w:szCs w:val="28"/>
        </w:rPr>
        <w:t xml:space="preserve">Губернатор </w:t>
      </w:r>
      <w:r>
        <w:rPr>
          <w:rFonts w:ascii="Times New Roman" w:hAnsi="Times New Roman" w:cs="Times New Roman"/>
          <w:sz w:val="28"/>
          <w:szCs w:val="28"/>
        </w:rPr>
        <w:tab/>
        <w:t xml:space="preserve">А.В. Богомаз </w:t>
      </w:r>
    </w:p>
    <w:p w:rsidR="00BC6B36" w:rsidRDefault="00BC6B36">
      <w:pPr>
        <w:pStyle w:val="ConsPlusNormal"/>
        <w:jc w:val="both"/>
        <w:rPr>
          <w:rFonts w:ascii="Times New Roman" w:hAnsi="Times New Roman" w:cs="Times New Roman"/>
          <w:sz w:val="28"/>
          <w:szCs w:val="28"/>
        </w:rPr>
      </w:pPr>
    </w:p>
    <w:p w:rsidR="00BC6B36" w:rsidRDefault="00BC6B36">
      <w:pPr>
        <w:pStyle w:val="ConsPlusNormal"/>
        <w:jc w:val="right"/>
        <w:outlineLvl w:val="0"/>
        <w:rPr>
          <w:rFonts w:ascii="Times New Roman" w:hAnsi="Times New Roman" w:cs="Times New Roman"/>
          <w:sz w:val="28"/>
          <w:szCs w:val="28"/>
        </w:rPr>
      </w:pPr>
    </w:p>
    <w:p w:rsidR="00BC6B36" w:rsidRDefault="00BC6B36">
      <w:pPr>
        <w:pStyle w:val="ConsPlusNormal"/>
        <w:jc w:val="right"/>
        <w:outlineLvl w:val="0"/>
        <w:rPr>
          <w:rFonts w:ascii="Times New Roman" w:hAnsi="Times New Roman" w:cs="Times New Roman"/>
          <w:sz w:val="28"/>
          <w:szCs w:val="28"/>
        </w:rPr>
      </w:pPr>
    </w:p>
    <w:p w:rsidR="00BC6B36" w:rsidRDefault="00BC6B36">
      <w:pPr>
        <w:pStyle w:val="ConsPlusNormal"/>
        <w:jc w:val="right"/>
        <w:outlineLvl w:val="0"/>
        <w:rPr>
          <w:rFonts w:ascii="Times New Roman" w:hAnsi="Times New Roman" w:cs="Times New Roman"/>
          <w:sz w:val="28"/>
          <w:szCs w:val="28"/>
        </w:rPr>
      </w:pPr>
    </w:p>
    <w:p w:rsidR="00BC6B36" w:rsidRDefault="00BC6B36">
      <w:pPr>
        <w:pStyle w:val="ConsPlusNormal"/>
        <w:outlineLvl w:val="0"/>
        <w:rPr>
          <w:rFonts w:ascii="Times New Roman" w:hAnsi="Times New Roman" w:cs="Times New Roman"/>
          <w:sz w:val="28"/>
          <w:szCs w:val="28"/>
        </w:rPr>
      </w:pPr>
    </w:p>
    <w:p w:rsidR="00BC6B36" w:rsidRDefault="00375C1F">
      <w:pPr>
        <w:pStyle w:val="ConsPlusNormal"/>
        <w:outlineLvl w:val="0"/>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                                                                                                              Вице – Губернатор</w:t>
      </w:r>
    </w:p>
    <w:p w:rsidR="00BC6B36" w:rsidRDefault="00375C1F">
      <w:pPr>
        <w:pStyle w:val="ConsPlusNormal"/>
        <w:outlineLvl w:val="0"/>
        <w:rPr>
          <w:rFonts w:ascii="Times New Roman" w:hAnsi="Times New Roman" w:cs="Times New Roman"/>
          <w:sz w:val="28"/>
          <w:szCs w:val="28"/>
        </w:rPr>
      </w:pPr>
      <w:r>
        <w:rPr>
          <w:rFonts w:ascii="Times New Roman" w:hAnsi="Times New Roman" w:cs="Times New Roman"/>
          <w:sz w:val="28"/>
          <w:szCs w:val="28"/>
        </w:rPr>
        <w:t xml:space="preserve">Брянской области                                                            </w:t>
      </w:r>
      <w:r w:rsidRPr="00375C1F">
        <w:rPr>
          <w:rFonts w:ascii="Times New Roman" w:hAnsi="Times New Roman" w:cs="Times New Roman"/>
          <w:sz w:val="28"/>
          <w:szCs w:val="28"/>
        </w:rPr>
        <w:tab/>
      </w:r>
      <w:r w:rsidRPr="00375C1F">
        <w:rPr>
          <w:rFonts w:ascii="Times New Roman" w:hAnsi="Times New Roman" w:cs="Times New Roman"/>
          <w:sz w:val="28"/>
          <w:szCs w:val="28"/>
        </w:rPr>
        <w:tab/>
      </w:r>
      <w:r>
        <w:rPr>
          <w:rFonts w:ascii="Times New Roman" w:hAnsi="Times New Roman" w:cs="Times New Roman"/>
          <w:sz w:val="28"/>
          <w:szCs w:val="28"/>
        </w:rPr>
        <w:t>А.</w:t>
      </w:r>
      <w:r>
        <w:rPr>
          <w:rFonts w:ascii="Times New Roman" w:hAnsi="Times New Roman" w:cs="Times New Roman"/>
          <w:sz w:val="28"/>
          <w:szCs w:val="28"/>
          <w:lang w:val="en-US"/>
        </w:rPr>
        <w:t xml:space="preserve"> </w:t>
      </w:r>
      <w:r>
        <w:rPr>
          <w:rFonts w:ascii="Times New Roman" w:hAnsi="Times New Roman" w:cs="Times New Roman"/>
          <w:sz w:val="28"/>
          <w:szCs w:val="28"/>
        </w:rPr>
        <w:t>Г. Резунов</w:t>
      </w:r>
    </w:p>
    <w:p w:rsidR="00BC6B36" w:rsidRDefault="00BC6B36">
      <w:pPr>
        <w:pStyle w:val="ConsPlusNormal"/>
        <w:outlineLvl w:val="0"/>
        <w:rPr>
          <w:rFonts w:ascii="Times New Roman" w:hAnsi="Times New Roman" w:cs="Times New Roman"/>
          <w:sz w:val="28"/>
          <w:szCs w:val="28"/>
        </w:rPr>
      </w:pP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Заместитель Губернатора</w:t>
      </w: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 xml:space="preserve">Брянской области                                                            </w:t>
      </w:r>
      <w:r w:rsidRPr="00375C1F">
        <w:rPr>
          <w:rFonts w:ascii="Times New Roman" w:hAnsi="Times New Roman"/>
          <w:sz w:val="28"/>
          <w:szCs w:val="28"/>
        </w:rPr>
        <w:tab/>
      </w:r>
      <w:r w:rsidRPr="00375C1F">
        <w:rPr>
          <w:rFonts w:ascii="Times New Roman" w:hAnsi="Times New Roman"/>
          <w:sz w:val="28"/>
          <w:szCs w:val="28"/>
        </w:rPr>
        <w:tab/>
      </w:r>
      <w:r>
        <w:rPr>
          <w:rFonts w:ascii="Times New Roman" w:hAnsi="Times New Roman"/>
          <w:sz w:val="28"/>
          <w:szCs w:val="28"/>
        </w:rPr>
        <w:t>Ю.</w:t>
      </w:r>
      <w:r>
        <w:rPr>
          <w:rFonts w:ascii="Times New Roman" w:hAnsi="Times New Roman"/>
          <w:sz w:val="28"/>
          <w:szCs w:val="28"/>
          <w:lang w:val="en-US"/>
        </w:rPr>
        <w:t xml:space="preserve"> </w:t>
      </w:r>
      <w:r>
        <w:rPr>
          <w:rFonts w:ascii="Times New Roman" w:hAnsi="Times New Roman"/>
          <w:sz w:val="28"/>
          <w:szCs w:val="28"/>
        </w:rPr>
        <w:t>В. Филипенко</w:t>
      </w:r>
    </w:p>
    <w:p w:rsidR="00BC6B36" w:rsidRDefault="00BC6B36">
      <w:pPr>
        <w:spacing w:after="0" w:line="240" w:lineRule="auto"/>
        <w:jc w:val="both"/>
        <w:rPr>
          <w:rFonts w:ascii="Times New Roman" w:hAnsi="Times New Roman"/>
          <w:sz w:val="28"/>
          <w:szCs w:val="28"/>
        </w:rPr>
      </w:pP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Начальник управления</w:t>
      </w: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государственных закупок</w:t>
      </w: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 xml:space="preserve">Брянской области                                                            </w:t>
      </w:r>
      <w:r w:rsidRPr="00375C1F">
        <w:rPr>
          <w:rFonts w:ascii="Times New Roman" w:hAnsi="Times New Roman"/>
          <w:sz w:val="28"/>
          <w:szCs w:val="28"/>
        </w:rPr>
        <w:tab/>
      </w:r>
      <w:r w:rsidRPr="00375C1F">
        <w:rPr>
          <w:rFonts w:ascii="Times New Roman" w:hAnsi="Times New Roman"/>
          <w:sz w:val="28"/>
          <w:szCs w:val="28"/>
        </w:rPr>
        <w:tab/>
      </w:r>
      <w:r>
        <w:rPr>
          <w:rFonts w:ascii="Times New Roman" w:hAnsi="Times New Roman"/>
          <w:sz w:val="28"/>
          <w:szCs w:val="28"/>
        </w:rPr>
        <w:t>В.</w:t>
      </w:r>
      <w:r>
        <w:rPr>
          <w:rFonts w:ascii="Times New Roman" w:hAnsi="Times New Roman"/>
          <w:sz w:val="28"/>
          <w:szCs w:val="28"/>
          <w:lang w:val="en-US"/>
        </w:rPr>
        <w:t xml:space="preserve"> </w:t>
      </w:r>
      <w:r>
        <w:rPr>
          <w:rFonts w:ascii="Times New Roman" w:hAnsi="Times New Roman"/>
          <w:sz w:val="28"/>
          <w:szCs w:val="28"/>
        </w:rPr>
        <w:t xml:space="preserve">А. </w:t>
      </w:r>
      <w:proofErr w:type="spellStart"/>
      <w:r>
        <w:rPr>
          <w:rFonts w:ascii="Times New Roman" w:hAnsi="Times New Roman"/>
          <w:sz w:val="28"/>
          <w:szCs w:val="28"/>
        </w:rPr>
        <w:t>Войстроченко</w:t>
      </w:r>
      <w:proofErr w:type="spellEnd"/>
    </w:p>
    <w:p w:rsidR="00BC6B36" w:rsidRDefault="00BC6B36">
      <w:pPr>
        <w:spacing w:after="0" w:line="240" w:lineRule="auto"/>
        <w:jc w:val="both"/>
        <w:rPr>
          <w:rFonts w:ascii="Times New Roman" w:hAnsi="Times New Roman"/>
          <w:sz w:val="28"/>
          <w:szCs w:val="28"/>
        </w:rPr>
      </w:pPr>
    </w:p>
    <w:p w:rsidR="00BC6B36" w:rsidRDefault="00375C1F">
      <w:pPr>
        <w:spacing w:after="0" w:line="240" w:lineRule="auto"/>
        <w:jc w:val="both"/>
        <w:rPr>
          <w:rFonts w:ascii="Times New Roman" w:hAnsi="Times New Roman"/>
          <w:sz w:val="28"/>
          <w:szCs w:val="28"/>
        </w:rPr>
      </w:pPr>
      <w:r>
        <w:rPr>
          <w:rFonts w:ascii="Times New Roman" w:hAnsi="Times New Roman"/>
          <w:sz w:val="28"/>
          <w:szCs w:val="28"/>
        </w:rPr>
        <w:t xml:space="preserve">Начальника отдела </w:t>
      </w:r>
    </w:p>
    <w:p w:rsidR="00375C1F" w:rsidRDefault="00375C1F" w:rsidP="00375C1F">
      <w:pPr>
        <w:spacing w:after="0" w:line="240" w:lineRule="auto"/>
        <w:jc w:val="both"/>
        <w:rPr>
          <w:rFonts w:ascii="Times New Roman" w:eastAsia="Calibri" w:hAnsi="Times New Roman"/>
          <w:sz w:val="28"/>
          <w:szCs w:val="28"/>
        </w:rPr>
      </w:pPr>
      <w:r>
        <w:rPr>
          <w:rFonts w:ascii="Times New Roman" w:hAnsi="Times New Roman"/>
          <w:sz w:val="28"/>
          <w:szCs w:val="28"/>
        </w:rPr>
        <w:t xml:space="preserve">делопроизводства                                                            </w:t>
      </w:r>
      <w:r w:rsidRPr="00375C1F">
        <w:rPr>
          <w:rFonts w:ascii="Times New Roman" w:hAnsi="Times New Roman"/>
          <w:sz w:val="28"/>
          <w:szCs w:val="28"/>
        </w:rPr>
        <w:tab/>
      </w:r>
      <w:r w:rsidRPr="00375C1F">
        <w:rPr>
          <w:rFonts w:ascii="Times New Roman" w:hAnsi="Times New Roman"/>
          <w:sz w:val="28"/>
          <w:szCs w:val="28"/>
        </w:rPr>
        <w:tab/>
      </w:r>
      <w:r>
        <w:rPr>
          <w:rFonts w:ascii="Times New Roman" w:hAnsi="Times New Roman"/>
          <w:sz w:val="28"/>
          <w:szCs w:val="28"/>
        </w:rPr>
        <w:t>М</w:t>
      </w:r>
      <w:r>
        <w:rPr>
          <w:rFonts w:ascii="Times New Roman" w:eastAsia="Calibri" w:hAnsi="Times New Roman"/>
          <w:sz w:val="28"/>
          <w:szCs w:val="28"/>
        </w:rPr>
        <w:t>.</w:t>
      </w:r>
      <w:r>
        <w:rPr>
          <w:rFonts w:ascii="Times New Roman" w:eastAsia="Calibri" w:hAnsi="Times New Roman"/>
          <w:sz w:val="28"/>
          <w:szCs w:val="28"/>
          <w:lang w:val="en-US"/>
        </w:rPr>
        <w:t xml:space="preserve"> </w:t>
      </w:r>
      <w:r>
        <w:rPr>
          <w:rFonts w:ascii="Times New Roman" w:eastAsia="Calibri" w:hAnsi="Times New Roman"/>
          <w:sz w:val="28"/>
          <w:szCs w:val="28"/>
        </w:rPr>
        <w:t>Ю. Лунев</w:t>
      </w:r>
    </w:p>
    <w:p w:rsidR="00375C1F" w:rsidRDefault="00375C1F">
      <w:pPr>
        <w:rPr>
          <w:rFonts w:ascii="Times New Roman" w:eastAsia="Calibri" w:hAnsi="Times New Roman"/>
          <w:sz w:val="28"/>
          <w:szCs w:val="28"/>
        </w:rPr>
      </w:pPr>
      <w:r>
        <w:rPr>
          <w:rFonts w:ascii="Times New Roman" w:eastAsia="Calibri" w:hAnsi="Times New Roman"/>
          <w:sz w:val="28"/>
          <w:szCs w:val="28"/>
        </w:rPr>
        <w:br w:type="page"/>
      </w:r>
    </w:p>
    <w:p w:rsidR="00375C1F" w:rsidRDefault="00375C1F" w:rsidP="00375C1F">
      <w:pPr>
        <w:spacing w:after="0" w:line="240" w:lineRule="auto"/>
        <w:ind w:firstLineChars="1714" w:firstLine="4799"/>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распоряжению </w:t>
      </w:r>
    </w:p>
    <w:p w:rsidR="00375C1F" w:rsidRDefault="00375C1F" w:rsidP="00375C1F">
      <w:pPr>
        <w:spacing w:after="0" w:line="240" w:lineRule="auto"/>
        <w:ind w:firstLineChars="1714" w:firstLine="4799"/>
        <w:jc w:val="both"/>
        <w:rPr>
          <w:rFonts w:ascii="Times New Roman" w:hAnsi="Times New Roman" w:cs="Times New Roman"/>
          <w:sz w:val="28"/>
          <w:szCs w:val="28"/>
        </w:rPr>
      </w:pPr>
      <w:r>
        <w:rPr>
          <w:rFonts w:ascii="Times New Roman" w:hAnsi="Times New Roman" w:cs="Times New Roman"/>
          <w:sz w:val="28"/>
          <w:szCs w:val="28"/>
        </w:rPr>
        <w:t xml:space="preserve">Правительства Брянской области </w:t>
      </w:r>
    </w:p>
    <w:p w:rsidR="00375C1F" w:rsidRDefault="00375C1F" w:rsidP="00375C1F">
      <w:pPr>
        <w:spacing w:after="0" w:line="240" w:lineRule="auto"/>
        <w:ind w:firstLineChars="1714" w:firstLine="4799"/>
        <w:jc w:val="both"/>
        <w:rPr>
          <w:rFonts w:ascii="Times New Roman" w:hAnsi="Times New Roman" w:cs="Times New Roman"/>
          <w:sz w:val="28"/>
          <w:szCs w:val="28"/>
        </w:rPr>
      </w:pPr>
      <w:r>
        <w:rPr>
          <w:rFonts w:ascii="Times New Roman" w:hAnsi="Times New Roman" w:cs="Times New Roman"/>
          <w:sz w:val="28"/>
          <w:szCs w:val="28"/>
        </w:rPr>
        <w:t xml:space="preserve">от              </w:t>
      </w:r>
      <w:proofErr w:type="gramStart"/>
      <w:r>
        <w:rPr>
          <w:rFonts w:ascii="Times New Roman" w:hAnsi="Times New Roman" w:cs="Times New Roman"/>
          <w:sz w:val="28"/>
          <w:szCs w:val="28"/>
        </w:rPr>
        <w:t>2017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рп</w:t>
      </w:r>
      <w:proofErr w:type="spellEnd"/>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МЕТОДИКА</w:t>
      </w: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ОЦЕНКИ ЭФФЕКТИВНОСТИ ОСУЩЕСТВЛЕНИЯ ЗАКУПОК ТОВАРОВ, РАБОТ, УСЛУГ ДЛЯ ОБЕСПЕЧЕНИЯ НУЖД БРЯНСКОЙ ОБЛАСТИ</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 Общие положения</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Настоящая Методика разработана в целях оценки эффективности закупочной деятельности, законности, дисциплины исполнения функций по обеспечению нужд Брянской области в товарах, работах, услугах.</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эффективности осуществления закупок представляет собой комплексную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для обеспечения нужд Брянской области.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Оценка эффективности осуществления закупок проводится ежеквартально с нарастающим итогом на основании расчета соответствующих показателей (критериев) в разрезе закупок органов государственной власти Брянской области (с учетом подведомственных учреждений) и муниципальных образований (городских округов) Брянской области, в целом по закупкам для обеспечения нужд Брянской области.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Ежеквартально не позднее последнего рабочего дня месяца, следующего за отчетным кварталом, информация о достигнутых показателях эффективности государственных (муниципальных) закупок в форме официального письма доводится до руководителей соответствующих органов государственной власти, глав соответствующих муниципальных образований (городских округов). Информация должна содержать интегральный показатель оценки эффективности по каждому критерию и совокупной оценки эффективности закупок за отчетный период.</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 Аналитическая оценка эффективности государственных закупок </w:t>
      </w:r>
      <w:r>
        <w:rPr>
          <w:rFonts w:ascii="Times New Roman" w:hAnsi="Times New Roman" w:cs="Times New Roman"/>
          <w:sz w:val="28"/>
          <w:szCs w:val="28"/>
        </w:rPr>
        <w:br/>
        <w:t>Брянской области</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Для определения эффективности закупочной деятельности применяются наиболее значимые показатели, демонстрирующие главные составные части проведения закупок и дающие возможность формировать подход к оценке эффективности.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Указанные показатели характеризуют стадии процесса определения поставщика (подрядчика, исполнителя) - планирование, проведение закупки, исполнение контракта, контроль и дают наиболее полное представление о процессе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оценке эффективности закупок используются следующие критерии:</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1. Критерий </w:t>
      </w:r>
      <w:proofErr w:type="spellStart"/>
      <w:r>
        <w:rPr>
          <w:rFonts w:ascii="Times New Roman" w:hAnsi="Times New Roman" w:cs="Times New Roman"/>
          <w:sz w:val="28"/>
          <w:szCs w:val="28"/>
        </w:rPr>
        <w:t>конкурентности</w:t>
      </w:r>
      <w:proofErr w:type="spellEnd"/>
      <w:r>
        <w:rPr>
          <w:rFonts w:ascii="Times New Roman" w:hAnsi="Times New Roman" w:cs="Times New Roman"/>
          <w:sz w:val="28"/>
          <w:szCs w:val="28"/>
        </w:rPr>
        <w:t xml:space="preserve"> закупок;</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Критерий экономности;</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Критерий соблюдения законодательства;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Критерий эффективности планирования;</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 Критерий сомнительности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Каждый критерий представляет собой совокупность показателей эффективности, рассчитываемых по приведенному ниже порядку. Сумма значений показателей по каждому критерию позволяет определить резервы повышения эффективности закупок по каждому направлению оценки.</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2.1. Критерий </w:t>
      </w:r>
      <w:proofErr w:type="spellStart"/>
      <w:r>
        <w:rPr>
          <w:rFonts w:ascii="Times New Roman" w:hAnsi="Times New Roman" w:cs="Times New Roman"/>
          <w:sz w:val="28"/>
          <w:szCs w:val="28"/>
        </w:rPr>
        <w:t>конкурентности</w:t>
      </w:r>
      <w:proofErr w:type="spellEnd"/>
      <w:r>
        <w:rPr>
          <w:rFonts w:ascii="Times New Roman" w:hAnsi="Times New Roman" w:cs="Times New Roman"/>
          <w:sz w:val="28"/>
          <w:szCs w:val="28"/>
        </w:rPr>
        <w:t xml:space="preserve"> закупок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Критерий </w:t>
      </w:r>
      <w:proofErr w:type="spellStart"/>
      <w:r>
        <w:rPr>
          <w:rFonts w:ascii="Times New Roman" w:hAnsi="Times New Roman" w:cs="Times New Roman"/>
          <w:sz w:val="28"/>
          <w:szCs w:val="28"/>
        </w:rPr>
        <w:t>конкурентности</w:t>
      </w:r>
      <w:proofErr w:type="spellEnd"/>
      <w:r>
        <w:rPr>
          <w:rFonts w:ascii="Times New Roman" w:hAnsi="Times New Roman" w:cs="Times New Roman"/>
          <w:sz w:val="28"/>
          <w:szCs w:val="28"/>
        </w:rPr>
        <w:t xml:space="preserve"> отражает уровень конкуренции в закупках региональных и муниципальных заказчиков. Критерий состоит из 4 показателей. Максимальное количество присвоенных баллов в результате интегральной оценки - 12. Отнесение закупки к тому или иному отчетному периоду производится по дате завершающего протокола.</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К1 - Удельный вес соответствующих конкурентных закупок в общем объеме закупок.</w:t>
      </w:r>
    </w:p>
    <w:p w:rsidR="00375C1F" w:rsidRDefault="00375C1F" w:rsidP="00375C1F">
      <w:pPr>
        <w:spacing w:after="0" w:line="240" w:lineRule="auto"/>
        <w:ind w:firstLine="709"/>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Важность показателя определяется тем, что только конкурентные закупки позволяют обеспечить эффективность закупок для нужд Брянской области. Сокращение доли закупок у единственного поставщика - одна из наиболее важных составляющих эффективности.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рассчитывается как доля конкурентных закупок в общем количестве проведенных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К1 рассчитывается как: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К1 = </w:t>
      </w:r>
      <w:proofErr w:type="spellStart"/>
      <w:r>
        <w:rPr>
          <w:rFonts w:ascii="Times New Roman" w:hAnsi="Times New Roman" w:cs="Times New Roman"/>
          <w:sz w:val="28"/>
          <w:szCs w:val="28"/>
        </w:rPr>
        <w:t>Зк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Зс</w:t>
      </w:r>
      <w:proofErr w:type="spellEnd"/>
      <w:r>
        <w:rPr>
          <w:rFonts w:ascii="Times New Roman" w:hAnsi="Times New Roman" w:cs="Times New Roman"/>
          <w:sz w:val="28"/>
          <w:szCs w:val="28"/>
        </w:rPr>
        <w:t xml:space="preserve"> * 100%, где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Зк</w:t>
      </w:r>
      <w:proofErr w:type="spellEnd"/>
      <w:r>
        <w:rPr>
          <w:rFonts w:ascii="Times New Roman" w:hAnsi="Times New Roman" w:cs="Times New Roman"/>
          <w:sz w:val="28"/>
          <w:szCs w:val="28"/>
        </w:rPr>
        <w:t xml:space="preserve"> - общее количество закупок конкурентными способами определения поставщиков (подрядчиков, исполнителей), за исключением закрытого конкурса, закрытого конкурса с ограниченным участием, закрытого двухэтапного конкурса, закрытого аукциона;</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Зс</w:t>
      </w:r>
      <w:proofErr w:type="spellEnd"/>
      <w:r>
        <w:rPr>
          <w:rFonts w:ascii="Times New Roman" w:hAnsi="Times New Roman" w:cs="Times New Roman"/>
          <w:sz w:val="28"/>
          <w:szCs w:val="28"/>
        </w:rPr>
        <w:t xml:space="preserve"> - совокупное (общее) количество проведенных закупок, за исключением закупок, при осуществлении которых использовались следующие способы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Закупки, осуществленные в соответствии с пунктами 4, 5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по тексту - Федеральный закон N 44-ФЗ), учитываются в общем количестве проведенных закупок.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К2 - Доля несостоявшихся закупок и закупок у "единственного поставщика (подрядчика исполнителя)" в общем объеме конкурентных закупок</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показатель характеризует экономический эффект от проведения закупок следующими конкурентными способами определения поставщиков (подрядчиков, исполнителей):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Показатели эффективности закупок К3н (доля несостоявшихся закупок) и К3е (доля закупок у единственного поставщика (подрядчика, исполнителя)) рассчитываются как: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К3н = </w:t>
      </w:r>
      <w:proofErr w:type="spellStart"/>
      <w:r>
        <w:rPr>
          <w:rFonts w:ascii="Times New Roman" w:hAnsi="Times New Roman" w:cs="Times New Roman"/>
          <w:sz w:val="28"/>
          <w:szCs w:val="28"/>
        </w:rPr>
        <w:t>Зн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Зк</w:t>
      </w:r>
      <w:proofErr w:type="spellEnd"/>
      <w:r>
        <w:rPr>
          <w:rFonts w:ascii="Times New Roman" w:hAnsi="Times New Roman" w:cs="Times New Roman"/>
          <w:sz w:val="28"/>
          <w:szCs w:val="28"/>
        </w:rPr>
        <w:t xml:space="preserve"> * 100%,</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К3е = </w:t>
      </w:r>
      <w:proofErr w:type="spellStart"/>
      <w:r>
        <w:rPr>
          <w:rFonts w:ascii="Times New Roman" w:hAnsi="Times New Roman" w:cs="Times New Roman"/>
          <w:sz w:val="28"/>
          <w:szCs w:val="28"/>
        </w:rPr>
        <w:t>Зе</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Зк</w:t>
      </w:r>
      <w:proofErr w:type="spellEnd"/>
      <w:r>
        <w:rPr>
          <w:rFonts w:ascii="Times New Roman" w:hAnsi="Times New Roman" w:cs="Times New Roman"/>
          <w:sz w:val="28"/>
          <w:szCs w:val="28"/>
        </w:rPr>
        <w:t xml:space="preserve"> * 100%, где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Зн</w:t>
      </w:r>
      <w:proofErr w:type="spellEnd"/>
      <w:r>
        <w:rPr>
          <w:rFonts w:ascii="Times New Roman" w:hAnsi="Times New Roman" w:cs="Times New Roman"/>
          <w:sz w:val="28"/>
          <w:szCs w:val="28"/>
        </w:rPr>
        <w:t xml:space="preserve"> - общее количество несостоявшихся закупок;</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Зе</w:t>
      </w:r>
      <w:proofErr w:type="spellEnd"/>
      <w:r>
        <w:rPr>
          <w:rFonts w:ascii="Times New Roman" w:hAnsi="Times New Roman" w:cs="Times New Roman"/>
          <w:sz w:val="28"/>
          <w:szCs w:val="28"/>
        </w:rPr>
        <w:t xml:space="preserve"> - общее количество закупок с одним участником (единственный участник заявился или единственный участник допущен);</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Зк</w:t>
      </w:r>
      <w:proofErr w:type="spellEnd"/>
      <w:r>
        <w:rPr>
          <w:rFonts w:ascii="Times New Roman" w:hAnsi="Times New Roman" w:cs="Times New Roman"/>
          <w:sz w:val="28"/>
          <w:szCs w:val="28"/>
        </w:rPr>
        <w:t xml:space="preserve"> - общее количество закупок конкурентными способами определения поставщиков (подрядчиков, исполнителей).</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Общий показатель несостоявшихся закупок рассчитывается как: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К2 = К3н + К3е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Доля несостоявшихся конкурсов, аукционов и иных закупочных процедур с одним участником (или без заявок участников) в общем количестве конкурентных закупок должна составлять не более 30%. Высокое значение показателя свидетельствует об отсутствии конкуренции, существовании риска получения предложений с завышенной стоимостью и прямо связано с показателем К4 в части оценки эффективности.</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К3 - Среднее количество участников закупки</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показатель характеризует уровень конкуренции при проведении закупок. Нормальные значения этого показателя находятся в диапазоне 3 - 7 участников закупки на одну процедуру. Меньшие значения (особенно значения, близкие к единице) характеризуют либо завышенный уровень требования заказчика, либо низкий уровень конкуренции на рынках, на которых производится закупка, либо наличие иных факторов, не позволяющих эффективно применять данный способ закупки. Значения меньше единицы говорят о наличии в статистических данных ошибок.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К3 рассчитывается как: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К3 = (</w:t>
      </w:r>
      <w:proofErr w:type="spellStart"/>
      <w:r>
        <w:rPr>
          <w:rFonts w:ascii="Times New Roman" w:hAnsi="Times New Roman" w:cs="Times New Roman"/>
          <w:sz w:val="28"/>
          <w:szCs w:val="28"/>
        </w:rPr>
        <w:t>Ук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Уа</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Узк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Узп</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Ук</w:t>
      </w:r>
      <w:proofErr w:type="spellEnd"/>
      <w:r>
        <w:rPr>
          <w:rFonts w:ascii="Times New Roman" w:hAnsi="Times New Roman" w:cs="Times New Roman"/>
          <w:sz w:val="28"/>
          <w:szCs w:val="28"/>
        </w:rPr>
        <w:t xml:space="preserve"> - количество участников открытых конкурсов, открытых конкурсов с ограниченным участием, открытых двухэтапных конкурсов</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Уа</w:t>
      </w:r>
      <w:proofErr w:type="spellEnd"/>
      <w:r>
        <w:rPr>
          <w:rFonts w:ascii="Times New Roman" w:hAnsi="Times New Roman" w:cs="Times New Roman"/>
          <w:sz w:val="28"/>
          <w:szCs w:val="28"/>
        </w:rPr>
        <w:t xml:space="preserve"> - количество участников электронных аукционов</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Узк</w:t>
      </w:r>
      <w:proofErr w:type="spellEnd"/>
      <w:r>
        <w:rPr>
          <w:rFonts w:ascii="Times New Roman" w:hAnsi="Times New Roman" w:cs="Times New Roman"/>
          <w:sz w:val="28"/>
          <w:szCs w:val="28"/>
        </w:rPr>
        <w:t xml:space="preserve"> - количество участников запросов котировок</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Узп</w:t>
      </w:r>
      <w:proofErr w:type="spellEnd"/>
      <w:r>
        <w:rPr>
          <w:rFonts w:ascii="Times New Roman" w:hAnsi="Times New Roman" w:cs="Times New Roman"/>
          <w:sz w:val="28"/>
          <w:szCs w:val="28"/>
        </w:rPr>
        <w:t xml:space="preserve"> - количество участников запросов предложений</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К4 - Индекс одной заявки</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вводится с целью повышения качества подготовки технического задания при формировании заявки на закупку, позволяющего принять участие в такой закупке наибольшему количеству поставщиков (подрядчиков, исполнителей).</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К4 рассчитывается как:</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К4 = З</w:t>
      </w:r>
      <w:r>
        <w:rPr>
          <w:rFonts w:ascii="Times New Roman" w:hAnsi="Times New Roman" w:cs="Times New Roman"/>
        </w:rPr>
        <w:t>1</w:t>
      </w:r>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rPr>
        <w:t>1</w:t>
      </w:r>
      <w:r>
        <w:rPr>
          <w:rFonts w:ascii="Times New Roman" w:hAnsi="Times New Roman" w:cs="Times New Roman"/>
          <w:sz w:val="28"/>
          <w:szCs w:val="28"/>
        </w:rPr>
        <w:t> - количество закупок на участие в которых подана единственная заявка (вне зависимости от того, допущена эта заявка или отклонена).</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2.2.Критерий экономности</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Критерий состоит из 2 показателей. Максимальное количество присвоенных баллов в результате интегральной оценки - 6. Отнесение закупки к тому или иному отчетному периоду производится по дате завершающего протокола.</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К5 - Экономия, полученная по результатам закупок</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Итоги конкурентных закупок оцениваются на предмет эффективности расходования бюджетных средств путем определения средней экономии в разрезе каждого способа определения поставщика (подрядчика, исполнителя), за исключением закрытого конкурса, закрытого конкурса с ограниченным участием, закрытого двухэтапного конкурса, закрытого аукциона.</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Экономия определяется в процентах от совокупной начальной (максимальной) цены контракта.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Полученной экономии дается оценка.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К5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К5 = (</w:t>
      </w:r>
      <w:proofErr w:type="spellStart"/>
      <w:r>
        <w:rPr>
          <w:rFonts w:ascii="Times New Roman" w:hAnsi="Times New Roman" w:cs="Times New Roman"/>
          <w:sz w:val="28"/>
          <w:szCs w:val="28"/>
        </w:rPr>
        <w:t>Цн</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Цн</w:t>
      </w:r>
      <w:proofErr w:type="spellEnd"/>
      <w:r>
        <w:rPr>
          <w:rFonts w:ascii="Times New Roman" w:hAnsi="Times New Roman" w:cs="Times New Roman"/>
          <w:sz w:val="28"/>
          <w:szCs w:val="28"/>
        </w:rPr>
        <w:t xml:space="preserve"> * 100%, где</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Цн</w:t>
      </w:r>
      <w:proofErr w:type="spellEnd"/>
      <w:r>
        <w:rPr>
          <w:rFonts w:ascii="Times New Roman" w:hAnsi="Times New Roman" w:cs="Times New Roman"/>
          <w:sz w:val="28"/>
          <w:szCs w:val="28"/>
        </w:rPr>
        <w:t xml:space="preserve"> - совокупная начальная (максимальная) цена контракта по всем проведенным закупкам, за исключением закупок, при которых используются следующие способы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Цк</w:t>
      </w:r>
      <w:proofErr w:type="spellEnd"/>
      <w:r>
        <w:rPr>
          <w:rFonts w:ascii="Times New Roman" w:hAnsi="Times New Roman" w:cs="Times New Roman"/>
          <w:sz w:val="28"/>
          <w:szCs w:val="28"/>
        </w:rPr>
        <w:t xml:space="preserve"> - совокупная стоимость заключенных контрактов, за исключением контрактов, заключенных по результатам проведения следующих способов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расчете показателя эффективности закупок К5 не принимаются во внимание закупки, сведения о которых не включаются в реестр контрактов в соответствии с пунктом 3 Правил ведения реестра контрактов, заключенных заказчиками, утвержденных Постановлением Правительства Российской Федерации от 28 ноября 2013 года N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исполнении контракта в установленном законодательством Российской Федерации и иными нормативными правовыми актами о контрактной системе в сфере закупок порядке производится изменение цены такого контракта, то для расчета показателя эффективности К5 принимается во внимание первоначальная цена контракта для ее изменения.</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расчете учитываются цены всех заключенных контрактов, в том числе контрактов, которые были расторгнуты по соглашению сторон или по решению суда, а также контрактов, которые впоследствии судом были признаны недействительными.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Проведенным закупкам присваиваются следующие степени эффективности расходования бюджетных средств:</w:t>
      </w:r>
    </w:p>
    <w:p w:rsidR="00375C1F" w:rsidRDefault="00375C1F" w:rsidP="00375C1F">
      <w:pPr>
        <w:spacing w:after="0" w:line="240" w:lineRule="auto"/>
        <w:ind w:firstLine="709"/>
        <w:jc w:val="both"/>
        <w:rPr>
          <w:rFonts w:ascii="Times New Roman" w:hAnsi="Times New Roman" w:cs="Times New Roman"/>
          <w:sz w:val="28"/>
          <w:szCs w:val="28"/>
        </w:rPr>
      </w:pPr>
    </w:p>
    <w:tbl>
      <w:tblPr>
        <w:tblW w:w="9351" w:type="dxa"/>
        <w:tblCellSpacing w:w="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993"/>
        <w:gridCol w:w="1677"/>
        <w:gridCol w:w="1800"/>
        <w:gridCol w:w="4881"/>
      </w:tblGrid>
      <w:tr w:rsidR="00375C1F" w:rsidTr="00896B6C">
        <w:trPr>
          <w:tblCellSpacing w:w="0" w:type="dxa"/>
        </w:trPr>
        <w:tc>
          <w:tcPr>
            <w:tcW w:w="993"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Группа</w:t>
            </w:r>
          </w:p>
        </w:tc>
        <w:tc>
          <w:tcPr>
            <w:tcW w:w="167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Значение показателя эффективности (К1)</w:t>
            </w:r>
          </w:p>
        </w:tc>
        <w:tc>
          <w:tcPr>
            <w:tcW w:w="180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Оценка эффективности</w:t>
            </w:r>
          </w:p>
        </w:tc>
        <w:tc>
          <w:tcPr>
            <w:tcW w:w="4881"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Характеристика показателя эффективности</w:t>
            </w:r>
          </w:p>
        </w:tc>
      </w:tr>
      <w:tr w:rsidR="00375C1F" w:rsidRPr="00875E32" w:rsidTr="00896B6C">
        <w:trPr>
          <w:tblCellSpacing w:w="0" w:type="dxa"/>
        </w:trPr>
        <w:tc>
          <w:tcPr>
            <w:tcW w:w="993"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1</w:t>
            </w:r>
          </w:p>
        </w:tc>
        <w:tc>
          <w:tcPr>
            <w:tcW w:w="167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0% до 5%</w:t>
            </w:r>
          </w:p>
        </w:tc>
        <w:tc>
          <w:tcPr>
            <w:tcW w:w="180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Низкая эффективность</w:t>
            </w:r>
          </w:p>
        </w:tc>
        <w:tc>
          <w:tcPr>
            <w:tcW w:w="4881"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Данное значение показателя характеризует:</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закупки у единственного поставщика (подрядчика, исполнителя), в том числе случаи, когда конкурентные процедуры были признаны несостоявшимися, и контракты заключены по начальным (максимальным) ценам;</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lastRenderedPageBreak/>
              <w:t>- несостоявшиеся конкурентные процедуры, при которых контракты были заключены по предложенным участником ценам, и конкурентные процедуры, состоявшиеся, но с низкой эффективностью.</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Возможные причины неэффективности:</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завышенный уровень требований к участникам, закупаемым товарам (работам, услугам);</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низкий уровень подготовленности участника;</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укрупнение закупки, повлекшее за собой сокращение количества потенциальных участников осуществления закупки;</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отсутствующий или низкий уровень конкуренции;</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отсутствие анализа и мониторинга цен для формирования объективных, обоснованных начальных (максимальных) цен контрактов;</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сговор поставщиков (подрядчиков, исполнителей) закупаемых товаров (работ, услуг).</w:t>
            </w:r>
          </w:p>
        </w:tc>
      </w:tr>
      <w:tr w:rsidR="00375C1F" w:rsidTr="00896B6C">
        <w:trPr>
          <w:tblCellSpacing w:w="0" w:type="dxa"/>
        </w:trPr>
        <w:tc>
          <w:tcPr>
            <w:tcW w:w="993"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lastRenderedPageBreak/>
              <w:t>2</w:t>
            </w:r>
          </w:p>
        </w:tc>
        <w:tc>
          <w:tcPr>
            <w:tcW w:w="167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25%</w:t>
            </w:r>
          </w:p>
        </w:tc>
        <w:tc>
          <w:tcPr>
            <w:tcW w:w="180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Нормативная эффективность закупок</w:t>
            </w:r>
          </w:p>
        </w:tc>
        <w:tc>
          <w:tcPr>
            <w:tcW w:w="4881"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Осуществление закупки проведено эффективно.</w:t>
            </w:r>
          </w:p>
        </w:tc>
      </w:tr>
      <w:tr w:rsidR="00375C1F" w:rsidRPr="00875E32" w:rsidTr="00896B6C">
        <w:trPr>
          <w:tblCellSpacing w:w="0" w:type="dxa"/>
        </w:trPr>
        <w:tc>
          <w:tcPr>
            <w:tcW w:w="993"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3</w:t>
            </w:r>
          </w:p>
        </w:tc>
        <w:tc>
          <w:tcPr>
            <w:tcW w:w="167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25%</w:t>
            </w:r>
          </w:p>
        </w:tc>
        <w:tc>
          <w:tcPr>
            <w:tcW w:w="180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Необоснованная эффективность закупок</w:t>
            </w:r>
          </w:p>
        </w:tc>
        <w:tc>
          <w:tcPr>
            <w:tcW w:w="4881"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Данное значение показателя может свидетельствовать о переоценке поставщиками (подрядчиками, исполнителями) своих возможностей по исполнению контрактов за цены, по которым они заключены, либо об установлении заказчиком завышенных начальных (максимальных) цен контрактов.</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Необходимо:</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провести проверку обоснованности начальных (максимальных) цен контракта;</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уделить особое внимание к исполнению контрактов поставщиками на каждом этапе;</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xml:space="preserve">- заключать контракт только после предоставления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закупки, но не </w:t>
            </w:r>
            <w:r>
              <w:rPr>
                <w:rFonts w:ascii="Times New Roman" w:hAnsi="Times New Roman" w:cs="Times New Roman"/>
                <w:sz w:val="24"/>
                <w:szCs w:val="24"/>
              </w:rPr>
              <w:lastRenderedPageBreak/>
              <w:t>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tc>
      </w:tr>
    </w:tbl>
    <w:p w:rsidR="00375C1F" w:rsidRDefault="00375C1F" w:rsidP="00375C1F">
      <w:pP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К6 - Доля закупок с экономией более 25%</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Особое внимание уделяется закупкам с необоснованной эффективностью, которая может быть результатом недобросовестных действий победителя либо существенного завышения начальных (максимальных) цен контракта.</w:t>
      </w:r>
    </w:p>
    <w:p w:rsidR="00375C1F" w:rsidRDefault="00375C1F" w:rsidP="00375C1F">
      <w:pPr>
        <w:ind w:firstLine="567"/>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К5 рассчитывается как:</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К6 = Э25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100%,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Э25 - количество закупок, организованных конкурентными способами определения поставщика (подрядчика, исполнителя) с экономией 25% и более;</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2.3. Критерий соблюдения законодательства в сфере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Критерий состоит из 2 показателей. Максимальное количество присвоенных баллов в результате интегральной оценки - 6.</w:t>
      </w: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К7 - Соблюдение требований по соотношению объемов (размеров) осуществления закупок у субъектов малого предпринимательства, социально ориентированных некоммерческих организаций и совокупного годового объема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Данный показатель характеризует исполнение заказчиками статьи 30 Федерального закона N 44-ФЗ, в соответствии с которой объем закупок, подлежащих размещению у СМП, СО НКО составляет не менее чем 15% совокупного годового объема закупок.</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Порядок расчета показателя эффективности закупок К7:</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1) Рассчитать совокупный годовой объем закупок</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СГОЗ = П + Т + С, где</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СГОЗ - совокупный годовой объем закупок;</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 - контракты, заключенные в предыдущих финансовых годах, в части, подлежащей оплате в текущем финансовом году;</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Т - контракты, заключенные в текущем финансовом году, полностью исполняемые и оплачиваемые в текущем финансовом году;</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 - контракты, заключенные в текущем финансовом году, исполняемые в текущих и последующих годах, в части, подлежащей оплате в текущем финансовом году.</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Вычесть из СГОЗ суммы на оплату товаров, работ, услуг в части 1.1 статьи 30 Федерального закона N 44-ФЗ (для обеспечения обороны страны и безопасности государства; услуг по предоставлению кредитов; у единственного поставщика (подрядчика, исполнителя) в соответствии с частью 1 статьи 93 Федерального закона N 44-ФЗ; работ в области использования атомной энергии; при осуществлении которых применяются закрытые способы определения поставщиков).</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3) Рассчитать фактический объем закупок, осуществленных у СМП, СО НКО (</w:t>
      </w:r>
      <w:proofErr w:type="spellStart"/>
      <w:r>
        <w:rPr>
          <w:rFonts w:ascii="Times New Roman" w:hAnsi="Times New Roman" w:cs="Times New Roman"/>
          <w:sz w:val="28"/>
          <w:szCs w:val="28"/>
        </w:rPr>
        <w:t>Vмз</w:t>
      </w:r>
      <w:proofErr w:type="spellEnd"/>
      <w:r>
        <w:rPr>
          <w:rFonts w:ascii="Times New Roman" w:hAnsi="Times New Roman" w:cs="Times New Roman"/>
          <w:sz w:val="28"/>
          <w:szCs w:val="28"/>
        </w:rPr>
        <w:t>).</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К7 = </w:t>
      </w:r>
      <w:proofErr w:type="spellStart"/>
      <w:r>
        <w:rPr>
          <w:rFonts w:ascii="Times New Roman" w:hAnsi="Times New Roman" w:cs="Times New Roman"/>
          <w:sz w:val="28"/>
          <w:szCs w:val="28"/>
        </w:rPr>
        <w:t>Vмз</w:t>
      </w:r>
      <w:proofErr w:type="spellEnd"/>
      <w:r>
        <w:rPr>
          <w:rFonts w:ascii="Times New Roman" w:hAnsi="Times New Roman" w:cs="Times New Roman"/>
          <w:sz w:val="28"/>
          <w:szCs w:val="28"/>
        </w:rPr>
        <w:t xml:space="preserve"> / СОГЗ * 100%</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К8 - Показатель количества обоснованных и частично обоснованных жалоб</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В рамках указанного показателя оценивается наличие установленных нарушений проведения закупок в течение отчетного периода. Учитываются нарушения, установленные по итогам проверок, рассмотрения жалоб участников проведения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Важность показателя определяется тем, что отсутствие нарушений и возможных злоупотреблений - неотъемлемая и важнейшая часть построения эффективной системы государственных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Отнесение жалобы к тому или иному отчетному периоду производится по дате ее рассмотрения.</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эффективности закупок К8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К8 = </w:t>
      </w:r>
      <w:proofErr w:type="spellStart"/>
      <w:r>
        <w:rPr>
          <w:rFonts w:ascii="Times New Roman" w:hAnsi="Times New Roman" w:cs="Times New Roman"/>
          <w:sz w:val="28"/>
          <w:szCs w:val="28"/>
        </w:rPr>
        <w:t>Жоч</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Жс</w:t>
      </w:r>
      <w:proofErr w:type="spellEnd"/>
      <w:r>
        <w:rPr>
          <w:rFonts w:ascii="Times New Roman" w:hAnsi="Times New Roman" w:cs="Times New Roman"/>
          <w:sz w:val="28"/>
          <w:szCs w:val="28"/>
        </w:rPr>
        <w:t xml:space="preserve"> * 100%,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Жс</w:t>
      </w:r>
      <w:proofErr w:type="spellEnd"/>
      <w:r>
        <w:rPr>
          <w:rFonts w:ascii="Times New Roman" w:hAnsi="Times New Roman" w:cs="Times New Roman"/>
          <w:sz w:val="28"/>
          <w:szCs w:val="28"/>
        </w:rPr>
        <w:t xml:space="preserve"> - количество жалоб участников закупок, направленных на рассмотрение в Федеральную антимонопольную службу России, Управление Федеральной антимонопольной службы по Брянской области, Комитет по контролю в сфере закупок Брянской области и рассмотренных в отчетном периоде. Жалобы, поступившие в отчетном периоде, находящиеся на рассмотрении, относятся к периоду их рассмотрения.</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Жоч</w:t>
      </w:r>
      <w:proofErr w:type="spellEnd"/>
      <w:r>
        <w:rPr>
          <w:rFonts w:ascii="Times New Roman" w:hAnsi="Times New Roman" w:cs="Times New Roman"/>
          <w:sz w:val="28"/>
          <w:szCs w:val="28"/>
        </w:rPr>
        <w:t xml:space="preserve"> - количество обоснованных и частично обоснованных жалоб в отчетном периоде, повлекших изменение результатов закупок. Жалобы, поступившие в предыдущем периоде, но рассмотренные в отчетном периоде, учитываются однократно в периоде их рассмотрения.</w:t>
      </w:r>
    </w:p>
    <w:p w:rsidR="00375C1F" w:rsidRDefault="00375C1F" w:rsidP="00375C1F">
      <w:pPr>
        <w:jc w:val="cente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lastRenderedPageBreak/>
        <w:t>2.4. Критерий эффективности планирования.</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Критерий состоит из 2 показателей. Максимальное количество присвоенных баллов в результате интегральной оценки - 3.</w:t>
      </w: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К9 - Показатель количества изменений в плане-графике в расчете на одну опубликованную конкурентную закупку</w:t>
      </w:r>
    </w:p>
    <w:p w:rsidR="00375C1F" w:rsidRDefault="00375C1F" w:rsidP="00375C1F">
      <w:pPr>
        <w:ind w:firstLine="567"/>
        <w:jc w:val="both"/>
        <w:rPr>
          <w:rFonts w:ascii="Times New Roman" w:hAnsi="Times New Roman" w:cs="Times New Roman"/>
          <w:sz w:val="28"/>
          <w:szCs w:val="28"/>
        </w:rPr>
      </w:pPr>
      <w:r>
        <w:rPr>
          <w:rFonts w:ascii="Times New Roman" w:hAnsi="Times New Roman" w:cs="Times New Roman"/>
          <w:sz w:val="28"/>
          <w:szCs w:val="28"/>
        </w:rPr>
        <w:t>Планирование является одной из важнейших составляющих и ключевым этапом закупочной деятельности как государственных и муниципальных заказчиков, бюджетных учреждений, так и коммерческих организаций, потенциальных поставщиков (подрядчиков, исполнителей). Частое внесение изменений в планы-графики, подлежащие обязательной публикации в Единой информационной системе в сфере закупок, препятствует своевременному и качественному планированию участия потенциальных поставщиков в государственных и муниципальных закупках, низкой конкуренции, увеличения вероятности срыва проведения закупок по причине отсутствия участников.</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количества изменений в плане-графике в расчете на одну опубликованную конкурентную закупку рассчитывается как:</w:t>
      </w: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К9 = </w:t>
      </w:r>
      <w:proofErr w:type="spellStart"/>
      <w:r>
        <w:rPr>
          <w:rFonts w:ascii="Times New Roman" w:hAnsi="Times New Roman" w:cs="Times New Roman"/>
          <w:sz w:val="28"/>
          <w:szCs w:val="28"/>
        </w:rPr>
        <w:t>ПГо</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ПГо</w:t>
      </w:r>
      <w:proofErr w:type="spellEnd"/>
      <w:r>
        <w:rPr>
          <w:rFonts w:ascii="Times New Roman" w:hAnsi="Times New Roman" w:cs="Times New Roman"/>
          <w:sz w:val="28"/>
          <w:szCs w:val="28"/>
        </w:rPr>
        <w:t xml:space="preserve"> - общее количество изменений планов-графиков в отчетном периоде. Изменения планов-графиков на очередной финансовый год, опубликованные в IV квартале отчетного периода, учитываются в первом квартале следующего года. Первичный план-график при расчете показателя не учитывается;</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К10 - Доля закупок, осуществленных в IV квартале</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Данный показатель учитывается по количеству закупок исключительно по итогам года, в связи с чем при общей интегральной оценке баллы по показателю К10 не присваиваются.</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Во избежание срыва заключения контрактов на поставку товаров, выполнение работ, оказание услуг для обеспечения государственных и муниципальных нужд по причине отсутствия участников закупок (отклонения имеющихся участников) в IV квартале отчетного года и невозможности проведения повторных закупочных процедур при соблюдении установленных сроков до конца текущего года, рекомендуется закупки с финансированием отчетного года проводить до истечения III квартала текущего года с целью сохранения возможности проведения дополнительных закупок при </w:t>
      </w:r>
      <w:r>
        <w:rPr>
          <w:rFonts w:ascii="Times New Roman" w:hAnsi="Times New Roman" w:cs="Times New Roman"/>
          <w:sz w:val="28"/>
          <w:szCs w:val="28"/>
        </w:rPr>
        <w:lastRenderedPageBreak/>
        <w:t>образовавшейся экономии, выделении дополнительного финансирования, необходимости проведения повторных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Отнесение закупки к тому или иному отчетному периоду производится по дате завершающего протокола.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доли закупок, осуществленных в IV квартале, рассчитывается как:</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К10 = З</w:t>
      </w:r>
      <w:r>
        <w:rPr>
          <w:rFonts w:ascii="Times New Roman" w:hAnsi="Times New Roman" w:cs="Times New Roman"/>
        </w:rPr>
        <w:t>4</w:t>
      </w:r>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Pr>
          <w:rFonts w:ascii="Times New Roman" w:hAnsi="Times New Roman" w:cs="Times New Roman"/>
        </w:rPr>
        <w:t>4</w:t>
      </w:r>
      <w:r>
        <w:rPr>
          <w:rFonts w:ascii="Times New Roman" w:hAnsi="Times New Roman" w:cs="Times New Roman"/>
          <w:sz w:val="28"/>
          <w:szCs w:val="28"/>
        </w:rPr>
        <w:t> - количество проведенных закупок конкурентными способами в IV квартале отчетного периода.</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jc w:val="cente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2.5. Критерий подозрительности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Критерий отображает закупки, в которых могут быть выявлены различные нарушения или существенные отклонения, недобросовестность поставщиков, коррупционная составляющая. Критерий состоит из 3 показателей. Максимальное количество присвоенных баллов в результате интегральной оценки - 9.</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К11 - Показатель качества исполнения контрактов</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Размещение государственного (муниципального) заказа не заканчивается на этапе заключения контракта. Для оценки эффективности закупки необходимо определить достижение основной цели закупки - получение тех благ, для которых закупка и проводилось. Поэтому в систему показателей оценки введен показатель качества исполнения контрактов (исполнения обязательств по заключенным контрактам). Показатель входит в систему показателей оценки эффективности закупочной деятельности субъектов Российской Федерации, используемую в Ежегодном докладе "О системе закупок в Российской Федерации", подготовленном Национальным исследовательским университетом "Высшая школа экономики".</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оценки исполнения контрактов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К11 = (</w:t>
      </w:r>
      <w:proofErr w:type="spellStart"/>
      <w:r>
        <w:rPr>
          <w:rFonts w:ascii="Times New Roman" w:hAnsi="Times New Roman" w:cs="Times New Roman"/>
          <w:sz w:val="28"/>
          <w:szCs w:val="28"/>
        </w:rPr>
        <w:t>Коб</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Кр</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Кн</w:t>
      </w:r>
      <w:proofErr w:type="spellEnd"/>
      <w:r>
        <w:rPr>
          <w:rFonts w:ascii="Times New Roman" w:hAnsi="Times New Roman" w:cs="Times New Roman"/>
          <w:sz w:val="28"/>
          <w:szCs w:val="28"/>
        </w:rPr>
        <w:t xml:space="preserve">/и) / </w:t>
      </w:r>
      <w:proofErr w:type="spellStart"/>
      <w:r>
        <w:rPr>
          <w:rFonts w:ascii="Times New Roman" w:hAnsi="Times New Roman" w:cs="Times New Roman"/>
          <w:sz w:val="28"/>
          <w:szCs w:val="28"/>
        </w:rPr>
        <w:t>Коб</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Коб</w:t>
      </w:r>
      <w:proofErr w:type="spellEnd"/>
      <w:r>
        <w:rPr>
          <w:rFonts w:ascii="Times New Roman" w:hAnsi="Times New Roman" w:cs="Times New Roman"/>
          <w:sz w:val="28"/>
          <w:szCs w:val="28"/>
        </w:rPr>
        <w:t xml:space="preserve"> - общее количество заключенных контрактов в отчетном (без учета "малых закупок" в соответствии с пунктом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Кр</w:t>
      </w:r>
      <w:proofErr w:type="spellEnd"/>
      <w:r>
        <w:rPr>
          <w:rFonts w:ascii="Times New Roman" w:hAnsi="Times New Roman" w:cs="Times New Roman"/>
          <w:sz w:val="28"/>
          <w:szCs w:val="28"/>
        </w:rPr>
        <w:t xml:space="preserve"> - количество расторгнутых контрактов по причине неисполнения поставщиками обязательств (контракты, расторгнутые по соглашению сторон по причине сокращения потребности в товарах, работах, услугах путем заключения дополнительных соглашений - не учитываются);</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Кн</w:t>
      </w:r>
      <w:proofErr w:type="spellEnd"/>
      <w:r>
        <w:rPr>
          <w:rFonts w:ascii="Times New Roman" w:hAnsi="Times New Roman" w:cs="Times New Roman"/>
          <w:sz w:val="28"/>
          <w:szCs w:val="28"/>
        </w:rPr>
        <w:t>/и - количество неисполненных контрактов, по которым планируется расторжение по причине неисполнения должным образом обязательств (не учитываются те контракты, срок исполнения которых еще не наступил, а обязательства исполняются надлежащим образом).</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К12 - Доля закупок по </w:t>
      </w:r>
      <w:proofErr w:type="spellStart"/>
      <w:r>
        <w:rPr>
          <w:rFonts w:ascii="Times New Roman" w:hAnsi="Times New Roman" w:cs="Times New Roman"/>
          <w:sz w:val="28"/>
          <w:szCs w:val="28"/>
        </w:rPr>
        <w:t>неминимальной</w:t>
      </w:r>
      <w:proofErr w:type="spellEnd"/>
      <w:r>
        <w:rPr>
          <w:rFonts w:ascii="Times New Roman" w:hAnsi="Times New Roman" w:cs="Times New Roman"/>
          <w:sz w:val="28"/>
          <w:szCs w:val="28"/>
        </w:rPr>
        <w:t xml:space="preserve"> цене</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Показатель является составляющей критерия подозрительности закупок в связи с тем, что характеризует долю отклонений участников по вторым частям. Высокое значение показателя потенциально указывает на возможность коррупционного сговора.</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Отнесение закупки к тому или иному отчетному периоду производится по дате завершающего протокола.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Показатель доли закупок по </w:t>
      </w:r>
      <w:proofErr w:type="spellStart"/>
      <w:r>
        <w:rPr>
          <w:rFonts w:ascii="Times New Roman" w:hAnsi="Times New Roman" w:cs="Times New Roman"/>
          <w:sz w:val="28"/>
          <w:szCs w:val="28"/>
        </w:rPr>
        <w:t>неминимальной</w:t>
      </w:r>
      <w:proofErr w:type="spellEnd"/>
      <w:r>
        <w:rPr>
          <w:rFonts w:ascii="Times New Roman" w:hAnsi="Times New Roman" w:cs="Times New Roman"/>
          <w:sz w:val="28"/>
          <w:szCs w:val="28"/>
        </w:rPr>
        <w:t xml:space="preserve"> цене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К12 = </w:t>
      </w:r>
      <w:proofErr w:type="spellStart"/>
      <w:r>
        <w:rPr>
          <w:rFonts w:ascii="Times New Roman" w:hAnsi="Times New Roman" w:cs="Times New Roman"/>
          <w:sz w:val="28"/>
          <w:szCs w:val="28"/>
        </w:rPr>
        <w:t>Кнм</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Кнм</w:t>
      </w:r>
      <w:proofErr w:type="spellEnd"/>
      <w:r>
        <w:rPr>
          <w:rFonts w:ascii="Times New Roman" w:hAnsi="Times New Roman" w:cs="Times New Roman"/>
          <w:sz w:val="28"/>
          <w:szCs w:val="28"/>
        </w:rPr>
        <w:t xml:space="preserve"> - количество закупок, контракты по которым заключены по </w:t>
      </w:r>
      <w:proofErr w:type="spellStart"/>
      <w:r>
        <w:rPr>
          <w:rFonts w:ascii="Times New Roman" w:hAnsi="Times New Roman" w:cs="Times New Roman"/>
          <w:sz w:val="28"/>
          <w:szCs w:val="28"/>
        </w:rPr>
        <w:t>неминимальной</w:t>
      </w:r>
      <w:proofErr w:type="spellEnd"/>
      <w:r>
        <w:rPr>
          <w:rFonts w:ascii="Times New Roman" w:hAnsi="Times New Roman" w:cs="Times New Roman"/>
          <w:sz w:val="28"/>
          <w:szCs w:val="28"/>
        </w:rPr>
        <w:t xml:space="preserve"> цене;</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xml:space="preserve"> - 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К13 - Доля заявок, не принявших участие в аукционе</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Наличие достаточного количества поставщиков (подрядчиков, исполнителей), заявившихся на участие в закупке, но не принявших участие в проведении аукциона, является одним из признаков возможного сговора между ними.</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Отнесение закупки к тому или иному отчетному периоду производится по дате завершающего протокола.</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доли заявок, не принявших участие в аукционе,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К13 = (</w:t>
      </w:r>
      <w:proofErr w:type="spellStart"/>
      <w:r>
        <w:rPr>
          <w:rFonts w:ascii="Times New Roman" w:hAnsi="Times New Roman" w:cs="Times New Roman"/>
          <w:sz w:val="28"/>
          <w:szCs w:val="28"/>
        </w:rPr>
        <w:t>Уоб</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Уот</w:t>
      </w:r>
      <w:proofErr w:type="spellEnd"/>
      <w:r>
        <w:rPr>
          <w:rFonts w:ascii="Times New Roman" w:hAnsi="Times New Roman" w:cs="Times New Roman"/>
          <w:sz w:val="28"/>
          <w:szCs w:val="28"/>
        </w:rPr>
        <w:t xml:space="preserve"> - Уд) / </w:t>
      </w:r>
      <w:proofErr w:type="spellStart"/>
      <w:r>
        <w:rPr>
          <w:rFonts w:ascii="Times New Roman" w:hAnsi="Times New Roman" w:cs="Times New Roman"/>
          <w:sz w:val="28"/>
          <w:szCs w:val="28"/>
        </w:rPr>
        <w:t>Уоб</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Уоб</w:t>
      </w:r>
      <w:proofErr w:type="spellEnd"/>
      <w:r>
        <w:rPr>
          <w:rFonts w:ascii="Times New Roman" w:hAnsi="Times New Roman" w:cs="Times New Roman"/>
          <w:sz w:val="28"/>
          <w:szCs w:val="28"/>
        </w:rPr>
        <w:t xml:space="preserve"> - общее количество поступивших заявок участников;</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Уот</w:t>
      </w:r>
      <w:proofErr w:type="spellEnd"/>
      <w:r>
        <w:rPr>
          <w:rFonts w:ascii="Times New Roman" w:hAnsi="Times New Roman" w:cs="Times New Roman"/>
          <w:sz w:val="28"/>
          <w:szCs w:val="28"/>
        </w:rPr>
        <w:t xml:space="preserve"> - количество отклоненных заявок участников;</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 - количество заявок, допущенных к участию по второму протоколу.</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 Критерий соблюдения принципа профессионализма заказчиков.</w:t>
      </w:r>
    </w:p>
    <w:p w:rsidR="00375C1F" w:rsidRDefault="00375C1F" w:rsidP="00375C1F">
      <w:pPr>
        <w:spacing w:after="0" w:line="240" w:lineRule="auto"/>
        <w:jc w:val="center"/>
        <w:rPr>
          <w:rFonts w:ascii="Times New Roman" w:hAnsi="Times New Roman" w:cs="Times New Roman"/>
          <w:sz w:val="28"/>
          <w:szCs w:val="28"/>
        </w:rPr>
      </w:pP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Критерий включает два показателя, при расчете которых используются только сведения о закупках органов государственной власти Брянской области и их подведомственных учреждений. Показатели характеризуют уровень профессиональной подготовки региональных специалистов, ответственных за организацию закупок в регионе. При общей интегральной оценке баллы по показателям К13, К14 не присваиваются.</w:t>
      </w:r>
    </w:p>
    <w:p w:rsidR="00375C1F" w:rsidRDefault="00375C1F" w:rsidP="00375C1F">
      <w:pPr>
        <w:spacing w:after="0" w:line="240" w:lineRule="auto"/>
        <w:ind w:firstLine="709"/>
        <w:jc w:val="both"/>
        <w:rPr>
          <w:rFonts w:ascii="Times New Roman" w:hAnsi="Times New Roman" w:cs="Times New Roman"/>
          <w:sz w:val="28"/>
          <w:szCs w:val="28"/>
        </w:rPr>
      </w:pPr>
    </w:p>
    <w:p w:rsidR="00375C1F" w:rsidRDefault="00375C1F" w:rsidP="00375C1F">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К14 - Показатель качества подготовки заявок на проведение конкурентных закупок</w:t>
      </w:r>
    </w:p>
    <w:p w:rsidR="00375C1F" w:rsidRDefault="00375C1F" w:rsidP="00375C1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Показатель характеризует соблюдение заказчиком одного из основных принципов Федерального закона от 05.04.2013 N 44-ФЗ "О контрактной системе в сфере закупок товаров, работ, услуг для обеспечения государственных и муниципальных нужд" - принципа профессионализма. Необходимость доработки заявок заказчиков на проведение закупок, внесение изменений в опубликованную документацию влечет увеличение сроков проведения закупок, заключения контрактов. Отзыв сформированных заявок служит показателем неэффективного использование специалистами заказчика своего рабочего времени, ненадлежащего исполнения должностных обязанностей.</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качества подготовки заявок на проведение конкурентных закупок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К14 = (З - </w:t>
      </w:r>
      <w:proofErr w:type="spellStart"/>
      <w:r>
        <w:rPr>
          <w:rFonts w:ascii="Times New Roman" w:hAnsi="Times New Roman" w:cs="Times New Roman"/>
          <w:sz w:val="28"/>
          <w:szCs w:val="28"/>
        </w:rPr>
        <w:t>Зо</w:t>
      </w:r>
      <w:proofErr w:type="spellEnd"/>
      <w:r>
        <w:rPr>
          <w:rFonts w:ascii="Times New Roman" w:hAnsi="Times New Roman" w:cs="Times New Roman"/>
          <w:sz w:val="28"/>
          <w:szCs w:val="28"/>
        </w:rPr>
        <w:t xml:space="preserve"> - Зв - </w:t>
      </w:r>
      <w:proofErr w:type="spellStart"/>
      <w:r>
        <w:rPr>
          <w:rFonts w:ascii="Times New Roman" w:hAnsi="Times New Roman" w:cs="Times New Roman"/>
          <w:sz w:val="28"/>
          <w:szCs w:val="28"/>
        </w:rPr>
        <w:t>Зизм</w:t>
      </w:r>
      <w:proofErr w:type="spellEnd"/>
      <w:r>
        <w:rPr>
          <w:rFonts w:ascii="Times New Roman" w:hAnsi="Times New Roman" w:cs="Times New Roman"/>
          <w:sz w:val="28"/>
          <w:szCs w:val="28"/>
        </w:rPr>
        <w:t>) / З,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 - общее количество поданных в отчетном периоде заявок на проведение конкурентных закупок;</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Зо</w:t>
      </w:r>
      <w:proofErr w:type="spellEnd"/>
      <w:r>
        <w:rPr>
          <w:rFonts w:ascii="Times New Roman" w:hAnsi="Times New Roman" w:cs="Times New Roman"/>
          <w:sz w:val="28"/>
          <w:szCs w:val="28"/>
        </w:rPr>
        <w:t xml:space="preserve"> - количество отозванных заявок, поданных в отчетном периоде на проведение конкурентных закупок;</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Зв - количество возвращенных заявок, поданных в отчетном периоде на проведение конкурентных закупок;</w:t>
      </w:r>
    </w:p>
    <w:p w:rsidR="00375C1F" w:rsidRDefault="00375C1F" w:rsidP="00375C1F">
      <w:pPr>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Зизм</w:t>
      </w:r>
      <w:proofErr w:type="spellEnd"/>
      <w:r>
        <w:rPr>
          <w:rFonts w:ascii="Times New Roman" w:hAnsi="Times New Roman" w:cs="Times New Roman"/>
          <w:sz w:val="28"/>
          <w:szCs w:val="28"/>
        </w:rPr>
        <w:t xml:space="preserve"> - количество закупок, в которые были внесены изменения после публикации извещения в Единой информационной системе в сфере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по одной заявке имеет место несколько доработок (возврат, внесение изменений и прочее), такие доработки при расчете показателя учитываются однократно.</w:t>
      </w:r>
    </w:p>
    <w:p w:rsidR="00375C1F" w:rsidRDefault="00375C1F" w:rsidP="00375C1F">
      <w:pPr>
        <w:jc w:val="cente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К15 - Показатель готовности работы государственных заказчиков в Региональной и муниципальной информационной системе (РМИС)*</w:t>
      </w: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Показатель временного характера</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 xml:space="preserve">В связи с планируемым с 01.01.2017 переходом на бесшовную интеграцию информационной системы "РИС Закупки" и Единой информационной системы </w:t>
      </w:r>
      <w:r>
        <w:rPr>
          <w:rFonts w:ascii="Times New Roman" w:hAnsi="Times New Roman" w:cs="Times New Roman"/>
          <w:sz w:val="28"/>
          <w:szCs w:val="28"/>
        </w:rPr>
        <w:lastRenderedPageBreak/>
        <w:t>(ЕИС), который не предполагает работу государственных заказчиков в личном кабинете ЕИС, все действия подлежат выполнению в РИС Закупки. Показатель вводится с целью планомерной подготовки государственных заказчиков к бесшовной интеграции, исключения в рабочем режиме ошибок и сбоев при работе.</w:t>
      </w:r>
    </w:p>
    <w:p w:rsidR="00375C1F" w:rsidRDefault="00375C1F" w:rsidP="00375C1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Показатель К15 рассчитывается как:</w:t>
      </w:r>
    </w:p>
    <w:p w:rsidR="00375C1F" w:rsidRDefault="00375C1F" w:rsidP="00375C1F">
      <w:pPr>
        <w:spacing w:after="0" w:line="240" w:lineRule="auto"/>
        <w:jc w:val="both"/>
        <w:rPr>
          <w:rFonts w:ascii="Times New Roman" w:hAnsi="Times New Roman" w:cs="Times New Roman"/>
          <w:sz w:val="28"/>
          <w:szCs w:val="28"/>
        </w:rPr>
      </w:pPr>
    </w:p>
    <w:p w:rsidR="00375C1F" w:rsidRDefault="00375C1F" w:rsidP="00375C1F">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К15 = </w:t>
      </w:r>
      <w:proofErr w:type="spellStart"/>
      <w:r>
        <w:rPr>
          <w:rFonts w:ascii="Times New Roman" w:hAnsi="Times New Roman" w:cs="Times New Roman"/>
          <w:sz w:val="28"/>
          <w:szCs w:val="28"/>
        </w:rPr>
        <w:t>Гк</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Кз</w:t>
      </w:r>
      <w:proofErr w:type="spellEnd"/>
      <w:r>
        <w:rPr>
          <w:rFonts w:ascii="Times New Roman" w:hAnsi="Times New Roman" w:cs="Times New Roman"/>
          <w:sz w:val="28"/>
          <w:szCs w:val="28"/>
        </w:rPr>
        <w:t>, где</w:t>
      </w:r>
    </w:p>
    <w:p w:rsidR="00375C1F" w:rsidRDefault="00375C1F" w:rsidP="00375C1F">
      <w:pPr>
        <w:spacing w:after="0" w:line="240" w:lineRule="auto"/>
        <w:rPr>
          <w:rFonts w:ascii="Times New Roman" w:hAnsi="Times New Roman" w:cs="Times New Roman"/>
          <w:sz w:val="28"/>
          <w:szCs w:val="28"/>
        </w:rPr>
      </w:pPr>
    </w:p>
    <w:p w:rsidR="00375C1F" w:rsidRDefault="00375C1F" w:rsidP="00375C1F">
      <w:pPr>
        <w:jc w:val="both"/>
        <w:rPr>
          <w:rFonts w:ascii="Times New Roman" w:hAnsi="Times New Roman" w:cs="Times New Roman"/>
          <w:sz w:val="28"/>
          <w:szCs w:val="28"/>
        </w:rPr>
      </w:pPr>
      <w:proofErr w:type="spellStart"/>
      <w:r>
        <w:rPr>
          <w:rFonts w:ascii="Times New Roman" w:hAnsi="Times New Roman" w:cs="Times New Roman"/>
          <w:sz w:val="28"/>
          <w:szCs w:val="28"/>
        </w:rPr>
        <w:t>Гк</w:t>
      </w:r>
      <w:proofErr w:type="spellEnd"/>
      <w:r>
        <w:rPr>
          <w:rFonts w:ascii="Times New Roman" w:hAnsi="Times New Roman" w:cs="Times New Roman"/>
          <w:sz w:val="28"/>
          <w:szCs w:val="28"/>
        </w:rPr>
        <w:t xml:space="preserve"> - количество государственных контрактов по результатам конкурентных закупок (открытый конкурс, открытый конкурс с ограниченным участием, открытый двухэтапный конкурс, электронный аукцион, запрос котировок, запрос предложений), заключение которых отражено в информационной системе "РИС Закупки"</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Закупки, где по итоговому протоколу все заявившиеся участники отклонены (или заявок не поступило), в общем количестве проведенных закупок не учитываются.</w:t>
      </w: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3. Комплексная оценка эффективности осуществления закупок товаров, работ, услуг для обеспечения нужд Брянской области</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Комплексная оценка по итогам отчетного периода (R) основывается на определении совокупного показателя R, который рассчитывается как сумма значений каждого из анализируемых показателей с использованием расчетно-баллового метода:</w:t>
      </w:r>
    </w:p>
    <w:p w:rsidR="00375C1F" w:rsidRPr="00375C1F" w:rsidRDefault="00375C1F" w:rsidP="00375C1F">
      <w:pPr>
        <w:rPr>
          <w:rFonts w:ascii="Times New Roman" w:hAnsi="Times New Roman" w:cs="Times New Roman"/>
          <w:sz w:val="28"/>
          <w:szCs w:val="28"/>
          <w:lang w:val="en-US"/>
        </w:rPr>
      </w:pPr>
      <w:r w:rsidRPr="00375C1F">
        <w:rPr>
          <w:rFonts w:ascii="Times New Roman" w:hAnsi="Times New Roman" w:cs="Times New Roman"/>
          <w:sz w:val="28"/>
          <w:szCs w:val="28"/>
          <w:lang w:val="en-US"/>
        </w:rPr>
        <w:t>R = R1 + R2 + R3 + R4 + R5 + R6 + R7 + R8 + R9 + R11 + R12 + R13</w:t>
      </w:r>
    </w:p>
    <w:p w:rsidR="00375C1F" w:rsidRDefault="00375C1F" w:rsidP="00375C1F">
      <w:pPr>
        <w:jc w:val="both"/>
        <w:rPr>
          <w:rFonts w:ascii="Times New Roman" w:hAnsi="Times New Roman" w:cs="Times New Roman"/>
          <w:sz w:val="28"/>
          <w:szCs w:val="28"/>
        </w:rPr>
      </w:pPr>
      <w:r>
        <w:rPr>
          <w:rFonts w:ascii="Times New Roman" w:hAnsi="Times New Roman" w:cs="Times New Roman"/>
          <w:sz w:val="28"/>
          <w:szCs w:val="28"/>
        </w:rPr>
        <w:t>Каждому показателю присваивается определенное количество баллов в соответствии со степенью эффективности (от 3 до 0).</w:t>
      </w:r>
    </w:p>
    <w:tbl>
      <w:tblPr>
        <w:tblW w:w="940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5"/>
        <w:tblLayout w:type="fixed"/>
        <w:tblCellMar>
          <w:left w:w="0" w:type="dxa"/>
          <w:right w:w="0" w:type="dxa"/>
        </w:tblCellMar>
        <w:tblLook w:val="04A0" w:firstRow="1" w:lastRow="0" w:firstColumn="1" w:lastColumn="0" w:noHBand="0" w:noVBand="1"/>
      </w:tblPr>
      <w:tblGrid>
        <w:gridCol w:w="1418"/>
        <w:gridCol w:w="1057"/>
        <w:gridCol w:w="2062"/>
        <w:gridCol w:w="1260"/>
        <w:gridCol w:w="3605"/>
      </w:tblGrid>
      <w:tr w:rsidR="00375C1F" w:rsidTr="00896B6C">
        <w:trPr>
          <w:tblCellSpacing w:w="0" w:type="dxa"/>
        </w:trPr>
        <w:tc>
          <w:tcPr>
            <w:tcW w:w="1418" w:type="dxa"/>
            <w:vMerge w:val="restart"/>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Показатель</w:t>
            </w:r>
          </w:p>
        </w:tc>
        <w:tc>
          <w:tcPr>
            <w:tcW w:w="7984" w:type="dxa"/>
            <w:gridSpan w:val="4"/>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Значение критериев для формирования комплексного показателя (баллы)</w:t>
            </w:r>
          </w:p>
        </w:tc>
      </w:tr>
      <w:tr w:rsidR="00375C1F" w:rsidTr="00896B6C">
        <w:trPr>
          <w:tblCellSpacing w:w="0" w:type="dxa"/>
        </w:trPr>
        <w:tc>
          <w:tcPr>
            <w:tcW w:w="1418" w:type="dxa"/>
            <w:vMerge/>
            <w:shd w:val="clear" w:color="auto" w:fill="FFFFFF" w:themeFill="background1"/>
            <w:vAlign w:val="center"/>
          </w:tcPr>
          <w:p w:rsidR="00375C1F" w:rsidRDefault="00375C1F" w:rsidP="00896B6C">
            <w:pPr>
              <w:jc w:val="both"/>
              <w:rPr>
                <w:rFonts w:ascii="Times New Roman" w:hAnsi="Times New Roman" w:cs="Times New Roman"/>
                <w:sz w:val="24"/>
                <w:szCs w:val="24"/>
              </w:rPr>
            </w:pP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R (1...13) = 3</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R (1...13) = 2</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R (1...13) = 1</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R (1...13) = 0</w:t>
            </w:r>
          </w:p>
        </w:tc>
      </w:tr>
      <w:tr w:rsidR="00375C1F" w:rsidTr="00896B6C">
        <w:trPr>
          <w:tblCellSpacing w:w="0" w:type="dxa"/>
        </w:trPr>
        <w:tc>
          <w:tcPr>
            <w:tcW w:w="9402" w:type="dxa"/>
            <w:gridSpan w:val="5"/>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 xml:space="preserve">Критерий </w:t>
            </w:r>
            <w:proofErr w:type="spellStart"/>
            <w:r>
              <w:rPr>
                <w:rFonts w:ascii="Times New Roman" w:hAnsi="Times New Roman" w:cs="Times New Roman"/>
                <w:sz w:val="24"/>
                <w:szCs w:val="24"/>
              </w:rPr>
              <w:t>конкурентности</w:t>
            </w:r>
            <w:proofErr w:type="spellEnd"/>
            <w:r>
              <w:rPr>
                <w:rFonts w:ascii="Times New Roman" w:hAnsi="Times New Roman" w:cs="Times New Roman"/>
                <w:sz w:val="24"/>
                <w:szCs w:val="24"/>
              </w:rPr>
              <w:t xml:space="preserve"> закупок</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50%</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30% до 50%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10% до 30%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10%</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К2</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25%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25% до 35%</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35% до 50%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50%</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lastRenderedPageBreak/>
              <w:t>К3</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10</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3 до 5</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3</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К4</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10% до 20%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20%</w:t>
            </w:r>
          </w:p>
        </w:tc>
      </w:tr>
      <w:tr w:rsidR="00375C1F" w:rsidTr="00896B6C">
        <w:trPr>
          <w:tblCellSpacing w:w="0" w:type="dxa"/>
        </w:trPr>
        <w:tc>
          <w:tcPr>
            <w:tcW w:w="9402" w:type="dxa"/>
            <w:gridSpan w:val="5"/>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Критерий экономности</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К5</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Группа 2</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Группа 1</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Группа 3</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К6</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10% до 20%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20%</w:t>
            </w:r>
          </w:p>
        </w:tc>
      </w:tr>
      <w:tr w:rsidR="00375C1F" w:rsidTr="00896B6C">
        <w:trPr>
          <w:tblCellSpacing w:w="0" w:type="dxa"/>
        </w:trPr>
        <w:tc>
          <w:tcPr>
            <w:tcW w:w="9402" w:type="dxa"/>
            <w:gridSpan w:val="5"/>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Критерий соблюдения законодательства в сфере закупок</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К7</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Норма выполнена (15%)</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Норма не выполнена (менее 15%)</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К8</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до 3%</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3% до 5%</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7%</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7%</w:t>
            </w:r>
          </w:p>
        </w:tc>
      </w:tr>
      <w:tr w:rsidR="00375C1F" w:rsidTr="00896B6C">
        <w:trPr>
          <w:tblCellSpacing w:w="0" w:type="dxa"/>
        </w:trPr>
        <w:tc>
          <w:tcPr>
            <w:tcW w:w="9402" w:type="dxa"/>
            <w:gridSpan w:val="5"/>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Критерий эффективности планирования</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К9</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0,2</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0,2 до 0,4</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0,4 до 0,6</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0,6</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К10</w:t>
            </w:r>
          </w:p>
        </w:tc>
        <w:tc>
          <w:tcPr>
            <w:tcW w:w="7984" w:type="dxa"/>
            <w:gridSpan w:val="4"/>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Баллы не присваиваются</w:t>
            </w:r>
          </w:p>
        </w:tc>
      </w:tr>
      <w:tr w:rsidR="00375C1F" w:rsidTr="00896B6C">
        <w:trPr>
          <w:tblCellSpacing w:w="0" w:type="dxa"/>
        </w:trPr>
        <w:tc>
          <w:tcPr>
            <w:tcW w:w="9402" w:type="dxa"/>
            <w:gridSpan w:val="5"/>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Критерий подозрительности закупок</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К11</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99%</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99% до 98%</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98% до 97%</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97%</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К12</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10% до 20%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20%</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К13</w:t>
            </w:r>
          </w:p>
        </w:tc>
        <w:tc>
          <w:tcPr>
            <w:tcW w:w="1057"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менее 5%</w:t>
            </w:r>
          </w:p>
        </w:tc>
        <w:tc>
          <w:tcPr>
            <w:tcW w:w="2062"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5% до 10%</w:t>
            </w:r>
          </w:p>
        </w:tc>
        <w:tc>
          <w:tcPr>
            <w:tcW w:w="1260"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от 10% до 20%</w:t>
            </w:r>
          </w:p>
        </w:tc>
        <w:tc>
          <w:tcPr>
            <w:tcW w:w="3605"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более 20%</w:t>
            </w:r>
          </w:p>
        </w:tc>
      </w:tr>
      <w:tr w:rsidR="00375C1F" w:rsidTr="00896B6C">
        <w:trPr>
          <w:tblCellSpacing w:w="0" w:type="dxa"/>
        </w:trPr>
        <w:tc>
          <w:tcPr>
            <w:tcW w:w="1418" w:type="dxa"/>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К14, К15</w:t>
            </w:r>
          </w:p>
        </w:tc>
        <w:tc>
          <w:tcPr>
            <w:tcW w:w="7984" w:type="dxa"/>
            <w:gridSpan w:val="4"/>
            <w:shd w:val="clear" w:color="auto" w:fill="FFFFFF" w:themeFill="background1"/>
            <w:vAlign w:val="center"/>
          </w:tcPr>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Критерий соблюдения принципа профессионализма.</w:t>
            </w:r>
          </w:p>
          <w:p w:rsidR="00375C1F" w:rsidRDefault="00375C1F" w:rsidP="00896B6C">
            <w:pPr>
              <w:jc w:val="both"/>
              <w:rPr>
                <w:rFonts w:ascii="Times New Roman" w:hAnsi="Times New Roman" w:cs="Times New Roman"/>
                <w:sz w:val="24"/>
                <w:szCs w:val="24"/>
              </w:rPr>
            </w:pPr>
            <w:r>
              <w:rPr>
                <w:rFonts w:ascii="Times New Roman" w:hAnsi="Times New Roman" w:cs="Times New Roman"/>
                <w:sz w:val="24"/>
                <w:szCs w:val="24"/>
              </w:rPr>
              <w:t>Баллы не присваиваются</w:t>
            </w:r>
          </w:p>
        </w:tc>
      </w:tr>
    </w:tbl>
    <w:p w:rsidR="00375C1F" w:rsidRDefault="00375C1F" w:rsidP="00375C1F">
      <w:pPr>
        <w:jc w:val="both"/>
        <w:rPr>
          <w:rFonts w:ascii="Times New Roman" w:hAnsi="Times New Roman" w:cs="Times New Roman"/>
          <w:sz w:val="28"/>
          <w:szCs w:val="28"/>
        </w:rPr>
      </w:pP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Для оценки эффективности осуществления закупок органами государственной власти Брянской области (с учетом подведомственных учреждений) и муниципальными образованиями (городскими округами) Брянской области, в целом по закупкам для обеспечения нужд Брянской области используется следующая балльная шкала:</w:t>
      </w:r>
    </w:p>
    <w:p w:rsidR="00375C1F" w:rsidRDefault="00375C1F" w:rsidP="00375C1F">
      <w:pPr>
        <w:rPr>
          <w:rFonts w:ascii="Times New Roman" w:hAnsi="Times New Roman" w:cs="Times New Roman"/>
          <w:sz w:val="28"/>
          <w:szCs w:val="28"/>
        </w:rPr>
      </w:pPr>
    </w:p>
    <w:tbl>
      <w:tblPr>
        <w:tblW w:w="934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1932"/>
        <w:gridCol w:w="1482"/>
        <w:gridCol w:w="1383"/>
        <w:gridCol w:w="1434"/>
        <w:gridCol w:w="3111"/>
      </w:tblGrid>
      <w:tr w:rsidR="00375C1F" w:rsidTr="00896B6C">
        <w:trPr>
          <w:tblCellSpacing w:w="0" w:type="dxa"/>
        </w:trPr>
        <w:tc>
          <w:tcPr>
            <w:tcW w:w="1932"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Критерии</w:t>
            </w:r>
          </w:p>
        </w:tc>
        <w:tc>
          <w:tcPr>
            <w:tcW w:w="7410" w:type="dxa"/>
            <w:gridSpan w:val="4"/>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Оценка эффективности осуществления закупок товаров, работ, услуг для обеспечения нужд Брянской области</w:t>
            </w:r>
          </w:p>
        </w:tc>
      </w:tr>
      <w:tr w:rsidR="00375C1F" w:rsidTr="00896B6C">
        <w:trPr>
          <w:tblCellSpacing w:w="0" w:type="dxa"/>
        </w:trPr>
        <w:tc>
          <w:tcPr>
            <w:tcW w:w="1932"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Эффективная</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Умеренно эффективная</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Неэффективная</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Неудовлетворительная</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410" w:type="dxa"/>
            <w:gridSpan w:val="4"/>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сумма присвоенных баллов</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Критерий </w:t>
            </w:r>
            <w:proofErr w:type="spellStart"/>
            <w:r>
              <w:rPr>
                <w:rFonts w:ascii="Times New Roman" w:hAnsi="Times New Roman" w:cs="Times New Roman"/>
                <w:sz w:val="24"/>
                <w:szCs w:val="24"/>
              </w:rPr>
              <w:t>конкурентности</w:t>
            </w:r>
            <w:proofErr w:type="spellEnd"/>
            <w:r>
              <w:rPr>
                <w:rFonts w:ascii="Times New Roman" w:hAnsi="Times New Roman" w:cs="Times New Roman"/>
                <w:sz w:val="24"/>
                <w:szCs w:val="24"/>
              </w:rPr>
              <w:t xml:space="preserve"> закупок</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10 - 12</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7 - 9</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4 - 6</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0 - 3</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Критерий экономности</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5 - 6</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3 - 4</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1 - 2</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0 - 1</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Критерий соблюдения законодательства в сфере закупок</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5 - 6</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3 - 4</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1 - 2</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0 - 1</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Критерий эффективности планирования</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3</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2</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Критерий подозрительности закупок</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8 - 9</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6 - 7</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4 - 5</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0 - 3</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Критерий соблюдения принципа профессионализма</w:t>
            </w:r>
          </w:p>
        </w:tc>
        <w:tc>
          <w:tcPr>
            <w:tcW w:w="7410" w:type="dxa"/>
            <w:gridSpan w:val="4"/>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баллы не присваиваются</w:t>
            </w:r>
          </w:p>
        </w:tc>
      </w:tr>
      <w:tr w:rsidR="00375C1F" w:rsidTr="00896B6C">
        <w:trPr>
          <w:tblCellSpacing w:w="0" w:type="dxa"/>
        </w:trPr>
        <w:tc>
          <w:tcPr>
            <w:tcW w:w="193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Сводная оценка эффективности закупок</w:t>
            </w:r>
          </w:p>
        </w:tc>
        <w:tc>
          <w:tcPr>
            <w:tcW w:w="1482"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28 - 36</w:t>
            </w:r>
          </w:p>
        </w:tc>
        <w:tc>
          <w:tcPr>
            <w:tcW w:w="138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19 - 27</w:t>
            </w:r>
          </w:p>
        </w:tc>
        <w:tc>
          <w:tcPr>
            <w:tcW w:w="1434"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10 - 18</w:t>
            </w:r>
          </w:p>
        </w:tc>
        <w:tc>
          <w:tcPr>
            <w:tcW w:w="311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0 - 9</w:t>
            </w:r>
          </w:p>
        </w:tc>
      </w:tr>
    </w:tbl>
    <w:p w:rsidR="00375C1F" w:rsidRDefault="00375C1F" w:rsidP="00375C1F">
      <w:pPr>
        <w:rPr>
          <w:rFonts w:ascii="Times New Roman" w:hAnsi="Times New Roman" w:cs="Times New Roman"/>
          <w:sz w:val="24"/>
          <w:szCs w:val="24"/>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4. Исходные данные для проведения оценки эффективности осуществления закупок товаров, работ, услуг для обеспечения государственных нужд Брянской области</w:t>
      </w:r>
    </w:p>
    <w:p w:rsidR="00375C1F" w:rsidRDefault="00375C1F" w:rsidP="00375C1F">
      <w:pPr>
        <w:rPr>
          <w:rFonts w:ascii="Times New Roman" w:hAnsi="Times New Roman" w:cs="Times New Roman"/>
          <w:sz w:val="24"/>
          <w:szCs w:val="24"/>
        </w:rPr>
      </w:pPr>
    </w:p>
    <w:tbl>
      <w:tblPr>
        <w:tblW w:w="9342"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4F4F5"/>
        <w:tblLayout w:type="fixed"/>
        <w:tblCellMar>
          <w:left w:w="0" w:type="dxa"/>
          <w:right w:w="0" w:type="dxa"/>
        </w:tblCellMar>
        <w:tblLook w:val="04A0" w:firstRow="1" w:lastRow="0" w:firstColumn="1" w:lastColumn="0" w:noHBand="0" w:noVBand="1"/>
      </w:tblPr>
      <w:tblGrid>
        <w:gridCol w:w="709"/>
        <w:gridCol w:w="1958"/>
        <w:gridCol w:w="4590"/>
        <w:gridCol w:w="2085"/>
      </w:tblGrid>
      <w:tr w:rsidR="00375C1F" w:rsidTr="00896B6C">
        <w:trPr>
          <w:tblCellSpacing w:w="0" w:type="dxa"/>
        </w:trPr>
        <w:tc>
          <w:tcPr>
            <w:tcW w:w="70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N п/п</w:t>
            </w:r>
          </w:p>
        </w:tc>
        <w:tc>
          <w:tcPr>
            <w:tcW w:w="1958"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Оцениваемый показатель</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Исходные данные</w:t>
            </w:r>
          </w:p>
        </w:tc>
        <w:tc>
          <w:tcPr>
            <w:tcW w:w="20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Источник данных</w:t>
            </w: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К1 - Удельный вес соответствующих конкурентных закупок в общем объеме закупок</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закупок конкурентными способами определения поставщиков (подрядчиков, исполнителей), за исключением закрытого конкурса, закрытого конкурса с ограниченным участием, закрытого двухэтапного конкурса, закрытого аукциона</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Совокупное (общее) количество проведенных закупок, за исключением закупок, при осуществлении которых </w:t>
            </w:r>
            <w:r>
              <w:rPr>
                <w:rFonts w:ascii="Times New Roman" w:hAnsi="Times New Roman" w:cs="Times New Roman"/>
                <w:sz w:val="24"/>
                <w:szCs w:val="24"/>
              </w:rPr>
              <w:lastRenderedPageBreak/>
              <w:t>использовались следующие способы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2.</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К2 - Доля несостоявшихся закупок и закупок у "единственного поставщика (подрядчика, исполнителя)" в общем объеме конкурентных закупок</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несостоявшихся закупок, осуществляемых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закупок (осуществляемых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 с одним участником (единственный участник заявился или единственный участник допущен)</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закупок, осуществляемых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3.</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К3 - Среднее количество участников закупки</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участников открытых конкурсов, аукционов, запросов котировок, запросов предложений</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4.</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К4 - Индекс одной заявки</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закупок, на участие в которых подана единственная заявка</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Единая информационная </w:t>
            </w:r>
            <w:r>
              <w:rPr>
                <w:rFonts w:ascii="Times New Roman" w:hAnsi="Times New Roman" w:cs="Times New Roman"/>
                <w:sz w:val="24"/>
                <w:szCs w:val="24"/>
              </w:rPr>
              <w:lastRenderedPageBreak/>
              <w:t>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5.</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К5 - Экономия, полученная по результатам закупок</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Совокупная начальная (максимальная) цена контракта по всем проведенным закупкам (за исключением закупок, при которых используются следующие способы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Совокупная стоимость заключенных контрактов, за исключением контрактов, заключенных по результатам проведения следующих способов определения поставщика (подрядчика, исполнителя): закрытый конкурс, закрытый конкурс с ограниченным участием, закрытый двухэтапный конкурс, закрытый аукцион</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6.</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К6 - Доля закупок с экономией более 25%</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закупок, организованных конкурентными способами определения поставщика (подрядчика, исполнителя) с экономией 25% и более</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7.</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К7 - Соблюдение требований по соотношению объемов (размеров) осуществления закупок у субъектов малого предпринимательства, социально ориентированных </w:t>
            </w:r>
            <w:r>
              <w:rPr>
                <w:rFonts w:ascii="Times New Roman" w:hAnsi="Times New Roman" w:cs="Times New Roman"/>
                <w:sz w:val="24"/>
                <w:szCs w:val="24"/>
              </w:rPr>
              <w:lastRenderedPageBreak/>
              <w:t>некоммерческих организаций и совокупного годового объема закупок</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lastRenderedPageBreak/>
              <w:t>Совокупный годовой объем закупок</w:t>
            </w:r>
          </w:p>
        </w:tc>
        <w:tc>
          <w:tcPr>
            <w:tcW w:w="20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Отчетность заказчиков</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Фактический объем закупок, осуществленных у СМП, СОНКО</w:t>
            </w:r>
          </w:p>
        </w:tc>
        <w:tc>
          <w:tcPr>
            <w:tcW w:w="20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8.</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К8 - Показатель количества обоснованных и частично обоснованных жалоб</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жалоб участников закупок, направленных на рассмотрение контролирующие органы</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жалоб, признанных обоснованными по итогам рассмотрения</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9.</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К9 - Показатель количества изменений в плане-графике в расчете на одну опубликованную конкурентную закупку</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изменений планов-графиков в отчетном периоде</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10.</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К10 - Доля закупок, осуществленных в IV квартале</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проведенных закупок конкурентными способами в IV квартале отчетного периода</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11.</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К11 - Показатель качества исполнения контрактов</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заключенных контрактов в отчетном (без учета "малых закупок" в соответствии с пунктом 4 части 1 статьи 93 Федерального закона от 05.04.2013 N 44-ФЗ "О контрактной системе в сфере закупок товаров, работ, услуг для обеспечения государственных и муниципальных нужд"</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Отчетность заказчиков</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расторгнутых контрактов по причине неисполнения поставщиками обязательств (контракты, расторгнутые по соглашению сторон по причине сокращения потребности в товарах, работах, услугах путем заключения дополнительных соглашений - не учитываются)</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неисполненных контрактов, по которым планируется расторжение по причине неисполнения должным образом обязательств (не учитываются те контракты, срок исполнения которых еще не наступил, а обязательства исполняются надлежащим образом)</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12.</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К12 - Доля закупок по </w:t>
            </w:r>
            <w:proofErr w:type="spellStart"/>
            <w:r>
              <w:rPr>
                <w:rFonts w:ascii="Times New Roman" w:hAnsi="Times New Roman" w:cs="Times New Roman"/>
                <w:sz w:val="24"/>
                <w:szCs w:val="24"/>
              </w:rPr>
              <w:t>неминимальной</w:t>
            </w:r>
            <w:proofErr w:type="spellEnd"/>
            <w:r>
              <w:rPr>
                <w:rFonts w:ascii="Times New Roman" w:hAnsi="Times New Roman" w:cs="Times New Roman"/>
                <w:sz w:val="24"/>
                <w:szCs w:val="24"/>
              </w:rPr>
              <w:t xml:space="preserve"> цене</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 xml:space="preserve">Количество закупок, контракты по которым заключены по </w:t>
            </w:r>
            <w:proofErr w:type="spellStart"/>
            <w:r>
              <w:rPr>
                <w:rFonts w:ascii="Times New Roman" w:hAnsi="Times New Roman" w:cs="Times New Roman"/>
                <w:sz w:val="24"/>
                <w:szCs w:val="24"/>
              </w:rPr>
              <w:t>неминимальной</w:t>
            </w:r>
            <w:proofErr w:type="spellEnd"/>
            <w:r>
              <w:rPr>
                <w:rFonts w:ascii="Times New Roman" w:hAnsi="Times New Roman" w:cs="Times New Roman"/>
                <w:sz w:val="24"/>
                <w:szCs w:val="24"/>
              </w:rPr>
              <w:t xml:space="preserve"> цене</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Единая информационная система в сфере закупок www.zakupki.gov.ru;</w:t>
            </w:r>
          </w:p>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13.</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К13 - Доля заявок, не принявших участие в аукционе</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поступивших заявок участников</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отклоненных заявок участников</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заявок, допущенных к участию по второму протоколу</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14.</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К7 - Показатель качества подготовки заявок на проведение конкурентных закупок</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поданных в отчетном периоде заявок на проведение конкурентных закупок</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отозванных заявок, поданных в отчетном периоде на проведение конкурентных закупок</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возвращенных заявок, поданных в отчетном периоде на проведение конкурентных закупок</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обращений заказчика о внесении изменений в заявку, извещение, документацию на проведение закупок</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70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15.</w:t>
            </w:r>
          </w:p>
        </w:tc>
        <w:tc>
          <w:tcPr>
            <w:tcW w:w="1958"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К15 - Показатель готовности работы государственных заказчиков в Региональной и муниципальной информационной системе (РМИС) *</w:t>
            </w: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государственных контрактов по результатам конкурентных закупок (открытый конкурс, открытый конкурс с ограниченным участием, открытый двухэтапный конкурс, электронный аукцион, запрос котировок, запрос предложений), заключение которых отражено в информационной системе "РИС Закупки"</w:t>
            </w:r>
          </w:p>
        </w:tc>
        <w:tc>
          <w:tcPr>
            <w:tcW w:w="2085"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Информационная система "РИС Закупки"</w:t>
            </w:r>
          </w:p>
        </w:tc>
      </w:tr>
      <w:tr w:rsidR="00375C1F" w:rsidTr="00896B6C">
        <w:trPr>
          <w:tblCellSpacing w:w="0" w:type="dxa"/>
        </w:trPr>
        <w:tc>
          <w:tcPr>
            <w:tcW w:w="70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958"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4590"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 следующими конкурентными способами: открытый конкурс, открытый конкурс с ограниченным участием, открытый двухэтапный конкурс, электронный аукцион, запрос котировок, запрос предложений</w:t>
            </w:r>
          </w:p>
        </w:tc>
        <w:tc>
          <w:tcPr>
            <w:tcW w:w="2085"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r>
    </w:tbl>
    <w:p w:rsidR="00375C1F" w:rsidRDefault="00375C1F" w:rsidP="00375C1F">
      <w:pPr>
        <w:jc w:val="center"/>
        <w:rPr>
          <w:rFonts w:ascii="Times New Roman" w:hAnsi="Times New Roman" w:cs="Times New Roman"/>
          <w:sz w:val="24"/>
          <w:szCs w:val="24"/>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5. Исходные данные для проведения оценки эффективности осуществления закупок товаров, работ, услуг для обеспечения муниципальных нужд Брянской области</w:t>
      </w:r>
    </w:p>
    <w:p w:rsidR="00375C1F" w:rsidRDefault="00375C1F" w:rsidP="00375C1F">
      <w:pPr>
        <w:jc w:val="both"/>
        <w:rPr>
          <w:rFonts w:ascii="Times New Roman" w:hAnsi="Times New Roman" w:cs="Times New Roman"/>
          <w:sz w:val="28"/>
          <w:szCs w:val="28"/>
        </w:rPr>
      </w:pPr>
      <w:r>
        <w:rPr>
          <w:rFonts w:ascii="Times New Roman" w:hAnsi="Times New Roman" w:cs="Times New Roman"/>
          <w:sz w:val="28"/>
          <w:szCs w:val="28"/>
        </w:rPr>
        <w:t>Информация для проведения мониторинга эффективности муниципальных закупок Брянской области в формате электронных таблиц (</w:t>
      </w:r>
      <w:proofErr w:type="spellStart"/>
      <w:r>
        <w:rPr>
          <w:rFonts w:ascii="Times New Roman" w:hAnsi="Times New Roman" w:cs="Times New Roman"/>
          <w:sz w:val="28"/>
          <w:szCs w:val="28"/>
        </w:rPr>
        <w:t>Excel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Calc</w:t>
      </w:r>
      <w:proofErr w:type="spellEnd"/>
      <w:r>
        <w:rPr>
          <w:rFonts w:ascii="Times New Roman" w:hAnsi="Times New Roman" w:cs="Times New Roman"/>
          <w:sz w:val="28"/>
          <w:szCs w:val="28"/>
        </w:rPr>
        <w:t>) направляется в уполномоченный орган (Управление государственных закупок Брянской области) каждым муниципальным образованием (городским округом) централизованно ежеквартально не позднее 15 числа месяца, следующего за отчетным кварталом, по форме прилагаемой форме:</w:t>
      </w:r>
    </w:p>
    <w:p w:rsidR="00375C1F" w:rsidRDefault="00375C1F" w:rsidP="00375C1F">
      <w:pPr>
        <w:rPr>
          <w:rFonts w:ascii="Times New Roman" w:hAnsi="Times New Roman" w:cs="Times New Roman"/>
          <w:sz w:val="28"/>
          <w:szCs w:val="28"/>
        </w:rPr>
      </w:pPr>
    </w:p>
    <w:tbl>
      <w:tblPr>
        <w:tblW w:w="9327"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3079"/>
        <w:gridCol w:w="921"/>
        <w:gridCol w:w="768"/>
        <w:gridCol w:w="941"/>
        <w:gridCol w:w="1233"/>
        <w:gridCol w:w="2385"/>
      </w:tblGrid>
      <w:tr w:rsidR="00375C1F" w:rsidTr="00896B6C">
        <w:trPr>
          <w:tblCellSpacing w:w="0" w:type="dxa"/>
        </w:trPr>
        <w:tc>
          <w:tcPr>
            <w:tcW w:w="3079" w:type="dxa"/>
            <w:vMerge w:val="restart"/>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Наименование</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отчетный период</w:t>
            </w:r>
          </w:p>
        </w:tc>
      </w:tr>
      <w:tr w:rsidR="00375C1F" w:rsidTr="00896B6C">
        <w:trPr>
          <w:tblCellSpacing w:w="0" w:type="dxa"/>
        </w:trPr>
        <w:tc>
          <w:tcPr>
            <w:tcW w:w="3079" w:type="dxa"/>
            <w:vMerge/>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открытые аукционы</w:t>
            </w: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конкурсы</w:t>
            </w: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запросы котировок</w:t>
            </w: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запросы предложений</w:t>
            </w: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у. ед. поставщика (часть 2 статьи 93 44-ФЗ)</w:t>
            </w: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1. Количественные характеристики проведенных закупок (закупки относить к отчетному периоду по дате итогового протокола)</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Общее количество проведенных закупок</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из них</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Поступила одна заявка участника (вне зависимости от того, допущена она или отклонена)</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Заявок не поступило или все отклонены</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Допущена одна заявка (вне зависимости от того, сколько поступило заявок всего)</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Отклонено заявок участников</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lastRenderedPageBreak/>
              <w:t>Количество закупок, в которых победителем признан участник, сделавший предложение с НЕМИНИМАЛЬНОЙ ценой из всех предложений</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закупок с экономией более 25%</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2. Стоимостные характеристики проведенных закупок (закупки относить к отчетному периоду по дате итогового протокола), тыс. руб.</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Сумма НМЦК проведенных закупок, тыс. руб.</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Сумма итоговых цен проведенных закупок, тыс. руб.</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Сумма НМЦК несостоявшихся закупок (все участники отклонены или заявок не поступило), тыс. руб.</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Сумма полученной экономии, тыс. руб.</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3. Уровень конкуренции (закупки относить к отчетному периоду по дате итогового протокола)</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Всего поступило заявок участников</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Допущено заявок участников по итоговому протоколу</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X</w:t>
            </w: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4. Исполнение нормы статьи 30 Федерального закона 44-ФЗ, тыс. руб.</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СГОЗ для расчета объема закупок у СМП, СОНКО, тыс. руб.</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Фактический объем закупок у СМП, СОНКО в соответствии со статьей 30 44-ФЗ</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5. Уровень критерий конфликтности (жалобы относить по дате их рассмотрения)</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Всего рассмотрено жалоб в отчетном периоде</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в том числе</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lastRenderedPageBreak/>
              <w:t>Признаны обоснованными</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Признаны частично обоснованными</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6. Уровень качества исполнения контрактов (контракты относить по дате их заключения)</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Всего заключено контрактов</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в том числе</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Контракты расторгнуты (по причине ненадлежащего исполнения или неисполнения)</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Контракты не исполнены (последует расторжение по причине ненадлежащего исполнения или неисполнения)</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9327" w:type="dxa"/>
            <w:gridSpan w:val="6"/>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7. Уровень эффективности планирования</w:t>
            </w: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контрактов, заключенных в IV квартале отчетного периода (по дате заключения контракта)</w:t>
            </w:r>
          </w:p>
        </w:tc>
        <w:tc>
          <w:tcPr>
            <w:tcW w:w="92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768"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941"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1233" w:type="dxa"/>
            <w:shd w:val="clear" w:color="auto" w:fill="FFFFFF" w:themeFill="background1"/>
            <w:vAlign w:val="center"/>
          </w:tcPr>
          <w:p w:rsidR="00375C1F" w:rsidRDefault="00375C1F" w:rsidP="00896B6C">
            <w:pPr>
              <w:rPr>
                <w:rFonts w:ascii="Times New Roman" w:hAnsi="Times New Roman" w:cs="Times New Roman"/>
                <w:sz w:val="24"/>
                <w:szCs w:val="24"/>
              </w:rPr>
            </w:pPr>
          </w:p>
        </w:tc>
        <w:tc>
          <w:tcPr>
            <w:tcW w:w="2385" w:type="dxa"/>
            <w:shd w:val="clear" w:color="auto" w:fill="FFFFFF" w:themeFill="background1"/>
            <w:vAlign w:val="center"/>
          </w:tcPr>
          <w:p w:rsidR="00375C1F" w:rsidRDefault="00375C1F" w:rsidP="00896B6C">
            <w:pPr>
              <w:rPr>
                <w:rFonts w:ascii="Times New Roman" w:hAnsi="Times New Roman" w:cs="Times New Roman"/>
                <w:sz w:val="24"/>
                <w:szCs w:val="24"/>
              </w:rPr>
            </w:pPr>
          </w:p>
        </w:tc>
      </w:tr>
      <w:tr w:rsidR="00375C1F" w:rsidTr="00896B6C">
        <w:trPr>
          <w:tblCellSpacing w:w="0" w:type="dxa"/>
        </w:trPr>
        <w:tc>
          <w:tcPr>
            <w:tcW w:w="3079" w:type="dxa"/>
            <w:shd w:val="clear" w:color="auto" w:fill="FFFFFF" w:themeFill="background1"/>
            <w:vAlign w:val="center"/>
          </w:tcPr>
          <w:p w:rsidR="00375C1F" w:rsidRDefault="00375C1F" w:rsidP="00896B6C">
            <w:pPr>
              <w:rPr>
                <w:rFonts w:ascii="Times New Roman" w:hAnsi="Times New Roman" w:cs="Times New Roman"/>
                <w:sz w:val="24"/>
                <w:szCs w:val="24"/>
              </w:rPr>
            </w:pPr>
            <w:r>
              <w:rPr>
                <w:rFonts w:ascii="Times New Roman" w:hAnsi="Times New Roman" w:cs="Times New Roman"/>
                <w:sz w:val="24"/>
                <w:szCs w:val="24"/>
              </w:rPr>
              <w:t>Количество изменений планов-графиков в отчетном периоде</w:t>
            </w:r>
          </w:p>
        </w:tc>
        <w:tc>
          <w:tcPr>
            <w:tcW w:w="6248" w:type="dxa"/>
            <w:gridSpan w:val="5"/>
            <w:shd w:val="clear" w:color="auto" w:fill="FFFFFF" w:themeFill="background1"/>
            <w:vAlign w:val="center"/>
          </w:tcPr>
          <w:p w:rsidR="00375C1F" w:rsidRDefault="00375C1F" w:rsidP="00896B6C">
            <w:pPr>
              <w:rPr>
                <w:rFonts w:ascii="Times New Roman" w:hAnsi="Times New Roman" w:cs="Times New Roman"/>
                <w:sz w:val="24"/>
                <w:szCs w:val="24"/>
              </w:rPr>
            </w:pPr>
          </w:p>
        </w:tc>
      </w:tr>
    </w:tbl>
    <w:p w:rsidR="00375C1F" w:rsidRDefault="00375C1F" w:rsidP="00375C1F">
      <w:pP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p>
    <w:p w:rsidR="00375C1F" w:rsidRDefault="00375C1F" w:rsidP="00375C1F">
      <w:pPr>
        <w:jc w:val="center"/>
        <w:rPr>
          <w:rFonts w:ascii="Times New Roman" w:hAnsi="Times New Roman" w:cs="Times New Roman"/>
          <w:sz w:val="28"/>
          <w:szCs w:val="28"/>
        </w:rPr>
      </w:pPr>
      <w:r>
        <w:rPr>
          <w:rFonts w:ascii="Times New Roman" w:hAnsi="Times New Roman" w:cs="Times New Roman"/>
          <w:sz w:val="28"/>
          <w:szCs w:val="28"/>
        </w:rPr>
        <w:t>6. Заключительные положения</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Итоги оценки эффективности осуществления закупок товаров, работ, услуг для обеспечения государственных и муниципальных нужд Брянской области позволяют:</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1. Сравнить сводные оценки эффективности по каждому из органов государственной власти (с учетом подведомственных учреждений) и муниципальных образований (городских округов) и ранжировать заказчиков по степени эффективности закупок.</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2. Выявить динамику сводной оценки эффективности по каждому из органов государственной власти (с учетом подведомственных учреждений) и муниципальных образований (городских округов) по системе закупок Брянской области в целом.</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3. Выявить критерии и показатели, снижающие общую эффективность закупок по каждому из органов государственной власти (с учетом подведомственных учреждений) и муниципальных образований (городских округов) и по системе закупок Брянской области в целом.</w:t>
      </w:r>
    </w:p>
    <w:p w:rsidR="00375C1F" w:rsidRDefault="00375C1F" w:rsidP="00375C1F">
      <w:pPr>
        <w:tabs>
          <w:tab w:val="left" w:pos="993"/>
        </w:tabs>
        <w:ind w:firstLine="851"/>
        <w:jc w:val="both"/>
        <w:rPr>
          <w:rFonts w:ascii="Times New Roman" w:hAnsi="Times New Roman" w:cs="Times New Roman"/>
          <w:sz w:val="28"/>
          <w:szCs w:val="28"/>
        </w:rPr>
      </w:pPr>
      <w:r>
        <w:rPr>
          <w:rFonts w:ascii="Times New Roman" w:hAnsi="Times New Roman" w:cs="Times New Roman"/>
          <w:sz w:val="28"/>
          <w:szCs w:val="28"/>
        </w:rPr>
        <w:t xml:space="preserve">4. Оценить   значение и </w:t>
      </w:r>
      <w:proofErr w:type="gramStart"/>
      <w:r>
        <w:rPr>
          <w:rFonts w:ascii="Times New Roman" w:hAnsi="Times New Roman" w:cs="Times New Roman"/>
          <w:sz w:val="28"/>
          <w:szCs w:val="28"/>
        </w:rPr>
        <w:t>динамику  показателей</w:t>
      </w:r>
      <w:proofErr w:type="gramEnd"/>
      <w:r>
        <w:rPr>
          <w:rFonts w:ascii="Times New Roman" w:hAnsi="Times New Roman" w:cs="Times New Roman"/>
          <w:sz w:val="28"/>
          <w:szCs w:val="28"/>
        </w:rPr>
        <w:t>,  применяемых при расчете.</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 xml:space="preserve">5. Выработать    </w:t>
      </w:r>
      <w:proofErr w:type="gramStart"/>
      <w:r>
        <w:rPr>
          <w:rFonts w:ascii="Times New Roman" w:hAnsi="Times New Roman" w:cs="Times New Roman"/>
          <w:sz w:val="28"/>
          <w:szCs w:val="28"/>
        </w:rPr>
        <w:t>рекомендации  по</w:t>
      </w:r>
      <w:proofErr w:type="gramEnd"/>
      <w:r>
        <w:rPr>
          <w:rFonts w:ascii="Times New Roman" w:hAnsi="Times New Roman" w:cs="Times New Roman"/>
          <w:sz w:val="28"/>
          <w:szCs w:val="28"/>
        </w:rPr>
        <w:t xml:space="preserve">  повышению   эффективности осуществления закупок товаров, работ и услуг (повышение конкуренции, совершенствование планирования, определение начальной (максимальной) цены контракта).</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6. Повысить дисциплину исполнения контрактов заказчиками Брянской области.</w:t>
      </w:r>
    </w:p>
    <w:p w:rsidR="00375C1F" w:rsidRDefault="00375C1F" w:rsidP="00375C1F">
      <w:pPr>
        <w:ind w:firstLine="709"/>
        <w:jc w:val="both"/>
        <w:rPr>
          <w:rFonts w:ascii="Times New Roman" w:hAnsi="Times New Roman" w:cs="Times New Roman"/>
          <w:sz w:val="28"/>
          <w:szCs w:val="28"/>
        </w:rPr>
      </w:pPr>
      <w:r>
        <w:rPr>
          <w:rFonts w:ascii="Times New Roman" w:hAnsi="Times New Roman" w:cs="Times New Roman"/>
          <w:sz w:val="28"/>
          <w:szCs w:val="28"/>
        </w:rPr>
        <w:t>7. Снизить количество нарушений законодательства в сфере закупок.</w:t>
      </w:r>
    </w:p>
    <w:p w:rsidR="00375C1F" w:rsidRDefault="00375C1F" w:rsidP="00375C1F">
      <w:pPr>
        <w:rPr>
          <w:rFonts w:ascii="Times New Roman" w:hAnsi="Times New Roman" w:cs="Times New Roman"/>
          <w:sz w:val="28"/>
          <w:szCs w:val="28"/>
        </w:rPr>
      </w:pPr>
    </w:p>
    <w:p w:rsidR="00BC6B36" w:rsidRDefault="00BC6B36" w:rsidP="00375C1F">
      <w:pPr>
        <w:spacing w:after="0" w:line="240" w:lineRule="auto"/>
        <w:jc w:val="both"/>
      </w:pPr>
      <w:bookmarkStart w:id="0" w:name="_GoBack"/>
      <w:bookmarkEnd w:id="0"/>
    </w:p>
    <w:sectPr w:rsidR="00BC6B36">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1E1"/>
    <w:rsid w:val="000B16C2"/>
    <w:rsid w:val="000E1AD6"/>
    <w:rsid w:val="00154531"/>
    <w:rsid w:val="001661E0"/>
    <w:rsid w:val="001D0414"/>
    <w:rsid w:val="002B46E1"/>
    <w:rsid w:val="002C0347"/>
    <w:rsid w:val="002F3650"/>
    <w:rsid w:val="00355AA6"/>
    <w:rsid w:val="00356159"/>
    <w:rsid w:val="00375C1F"/>
    <w:rsid w:val="003F30ED"/>
    <w:rsid w:val="003F6F1A"/>
    <w:rsid w:val="00444789"/>
    <w:rsid w:val="0047148C"/>
    <w:rsid w:val="004F4A17"/>
    <w:rsid w:val="00543AD5"/>
    <w:rsid w:val="00581276"/>
    <w:rsid w:val="00594B03"/>
    <w:rsid w:val="005B3224"/>
    <w:rsid w:val="005F167F"/>
    <w:rsid w:val="006B1382"/>
    <w:rsid w:val="00711E53"/>
    <w:rsid w:val="00757244"/>
    <w:rsid w:val="007A06FD"/>
    <w:rsid w:val="00814DBC"/>
    <w:rsid w:val="00884ADF"/>
    <w:rsid w:val="008D5822"/>
    <w:rsid w:val="00910880"/>
    <w:rsid w:val="00917918"/>
    <w:rsid w:val="00A5721B"/>
    <w:rsid w:val="00A6544C"/>
    <w:rsid w:val="00B14120"/>
    <w:rsid w:val="00B37543"/>
    <w:rsid w:val="00BC2DF8"/>
    <w:rsid w:val="00BC6B36"/>
    <w:rsid w:val="00BF0499"/>
    <w:rsid w:val="00BF61E1"/>
    <w:rsid w:val="00C257EE"/>
    <w:rsid w:val="00CC61F2"/>
    <w:rsid w:val="00CE2430"/>
    <w:rsid w:val="00D15BB2"/>
    <w:rsid w:val="00D16D90"/>
    <w:rsid w:val="00D45DDF"/>
    <w:rsid w:val="00E3616D"/>
    <w:rsid w:val="00E45735"/>
    <w:rsid w:val="00ED3176"/>
    <w:rsid w:val="00F368F5"/>
    <w:rsid w:val="00F37AD5"/>
    <w:rsid w:val="00F636AB"/>
    <w:rsid w:val="00F915F5"/>
    <w:rsid w:val="00FD060A"/>
    <w:rsid w:val="00FD74E8"/>
    <w:rsid w:val="34967815"/>
    <w:rsid w:val="3DCD0F7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E3108D-2AE1-4EF5-B093-48E982E29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pPr>
      <w:spacing w:after="0" w:line="240" w:lineRule="auto"/>
    </w:pPr>
    <w:rPr>
      <w:rFonts w:ascii="Segoe UI" w:hAnsi="Segoe UI" w:cs="Segoe UI"/>
      <w:sz w:val="18"/>
      <w:szCs w:val="18"/>
    </w:rPr>
  </w:style>
  <w:style w:type="paragraph" w:styleId="a5">
    <w:name w:val="annotation text"/>
    <w:basedOn w:val="a"/>
    <w:link w:val="a6"/>
    <w:uiPriority w:val="99"/>
    <w:unhideWhenUsed/>
    <w:qFormat/>
    <w:pPr>
      <w:spacing w:after="200" w:line="276" w:lineRule="auto"/>
    </w:pPr>
    <w:rPr>
      <w:rFonts w:ascii="Calibri" w:eastAsia="Times New Roman" w:hAnsi="Calibri" w:cs="Times New Roman"/>
      <w:sz w:val="20"/>
      <w:szCs w:val="20"/>
      <w:lang w:eastAsia="ru-RU"/>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styleId="a7">
    <w:name w:val="annotation reference"/>
    <w:uiPriority w:val="99"/>
    <w:unhideWhenUsed/>
    <w:qFormat/>
    <w:rPr>
      <w:sz w:val="16"/>
      <w:szCs w:val="16"/>
    </w:rPr>
  </w:style>
  <w:style w:type="character" w:styleId="a8">
    <w:name w:val="Hyperlink"/>
    <w:basedOn w:val="a0"/>
    <w:uiPriority w:val="99"/>
    <w:unhideWhenUsed/>
    <w:qFormat/>
    <w:rPr>
      <w:color w:val="0000FF"/>
      <w:u w:val="single"/>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rPr>
  </w:style>
  <w:style w:type="character" w:customStyle="1" w:styleId="HTML0">
    <w:name w:val="Стандартный HTML Знак"/>
    <w:basedOn w:val="a0"/>
    <w:link w:val="HTML"/>
    <w:uiPriority w:val="99"/>
    <w:qFormat/>
    <w:rPr>
      <w:rFonts w:ascii="Courier New" w:eastAsia="Times New Roman" w:hAnsi="Courier New" w:cs="Courier New"/>
      <w:sz w:val="20"/>
      <w:szCs w:val="20"/>
      <w:lang w:eastAsia="ru-RU"/>
    </w:rPr>
  </w:style>
  <w:style w:type="character" w:customStyle="1" w:styleId="a6">
    <w:name w:val="Текст примечания Знак"/>
    <w:basedOn w:val="a0"/>
    <w:link w:val="a5"/>
    <w:uiPriority w:val="99"/>
    <w:qFormat/>
    <w:rPr>
      <w:rFonts w:ascii="Calibri" w:eastAsia="Times New Roman" w:hAnsi="Calibri" w:cs="Times New Roman"/>
      <w:sz w:val="20"/>
      <w:szCs w:val="20"/>
      <w:lang w:eastAsia="ru-RU"/>
    </w:rPr>
  </w:style>
  <w:style w:type="character" w:customStyle="1" w:styleId="a4">
    <w:name w:val="Текст выноски Знак"/>
    <w:basedOn w:val="a0"/>
    <w:link w:val="a3"/>
    <w:uiPriority w:val="99"/>
    <w:semiHidden/>
    <w:qFormat/>
    <w:rPr>
      <w:rFonts w:ascii="Segoe UI" w:hAnsi="Segoe UI" w:cs="Segoe UI"/>
      <w:sz w:val="18"/>
      <w:szCs w:val="18"/>
    </w:rPr>
  </w:style>
  <w:style w:type="character" w:customStyle="1" w:styleId="blk">
    <w:name w:val="blk"/>
    <w:basedOn w:val="a0"/>
    <w:qFormat/>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6448</Words>
  <Characters>36758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УГЗБО</Company>
  <LinksUpToDate>false</LinksUpToDate>
  <CharactersWithSpaces>43120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 А. Сазонов</dc:creator>
  <cp:lastModifiedBy>Алексей С. Марусов</cp:lastModifiedBy>
  <cp:revision>2</cp:revision>
  <cp:lastPrinted>2017-05-16T07:06:00Z</cp:lastPrinted>
  <dcterms:created xsi:type="dcterms:W3CDTF">2017-05-19T07:47:00Z</dcterms:created>
  <dcterms:modified xsi:type="dcterms:W3CDTF">2017-05-19T07:47:00Z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1049-10.2.0.5820</vt:lpwstr>
  </property>
</Properties>
</file>